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524" w14:textId="3B1CD1E9" w:rsidR="00DB6D69" w:rsidRDefault="00696244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ADA62B" wp14:editId="79C09A90">
            <wp:extent cx="1540963" cy="1540963"/>
            <wp:effectExtent l="0" t="0" r="2540" b="2540"/>
            <wp:docPr id="51190903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9037" name="Imagem 511909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5" cy="15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A5E6" w14:textId="77777777" w:rsidR="008D79B5" w:rsidRPr="008D79B5" w:rsidRDefault="008D79B5" w:rsidP="00471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9B5">
        <w:rPr>
          <w:rFonts w:ascii="Times New Roman" w:hAnsi="Times New Roman" w:cs="Times New Roman"/>
          <w:b/>
          <w:bCs/>
          <w:sz w:val="32"/>
          <w:szCs w:val="32"/>
        </w:rPr>
        <w:t>CADERNO DE PROVA</w:t>
      </w:r>
    </w:p>
    <w:p w14:paraId="09EA3CD8" w14:textId="47DA26F2" w:rsidR="004711F7" w:rsidRDefault="004711F7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96D">
        <w:rPr>
          <w:rFonts w:ascii="Times New Roman" w:hAnsi="Times New Roman" w:cs="Times New Roman"/>
          <w:b/>
          <w:bCs/>
          <w:sz w:val="24"/>
          <w:szCs w:val="24"/>
        </w:rPr>
        <w:t>PROCESSO DE SELEÇÃO PARA RESIDÊNCIA MULTIPROFISSIONAL</w:t>
      </w:r>
      <w:r w:rsidR="007C5D3D">
        <w:rPr>
          <w:rFonts w:ascii="Times New Roman" w:hAnsi="Times New Roman" w:cs="Times New Roman"/>
          <w:b/>
          <w:bCs/>
          <w:sz w:val="24"/>
          <w:szCs w:val="24"/>
        </w:rPr>
        <w:t>/UNIPROFISSIONAL</w:t>
      </w:r>
      <w:r w:rsidRPr="00F6796D">
        <w:rPr>
          <w:rFonts w:ascii="Times New Roman" w:hAnsi="Times New Roman" w:cs="Times New Roman"/>
          <w:b/>
          <w:bCs/>
          <w:sz w:val="24"/>
          <w:szCs w:val="24"/>
        </w:rPr>
        <w:t xml:space="preserve"> – 2024</w:t>
      </w:r>
    </w:p>
    <w:p w14:paraId="4B93FB44" w14:textId="77777777" w:rsidR="004818D5" w:rsidRDefault="004818D5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85157" w14:textId="77777777" w:rsidR="006A2ED4" w:rsidRDefault="006A2ED4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5FAFC" w14:textId="4B734810" w:rsidR="00E73293" w:rsidRDefault="00E73293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1CD34" w14:textId="3E921B33" w:rsidR="004818D5" w:rsidRPr="00E73293" w:rsidRDefault="004818D5" w:rsidP="004818D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3293">
        <w:rPr>
          <w:rFonts w:ascii="Times New Roman" w:hAnsi="Times New Roman" w:cs="Times New Roman"/>
          <w:color w:val="FF0000"/>
          <w:sz w:val="28"/>
          <w:szCs w:val="28"/>
        </w:rPr>
        <w:t xml:space="preserve">Prova a ser realizada pelos candidatos graduados em </w:t>
      </w:r>
      <w:r w:rsidR="008120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O</w:t>
      </w:r>
      <w:r w:rsidR="008120E1" w:rsidRPr="008120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</w:t>
      </w:r>
      <w:r w:rsidR="008120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ONTOLOGIA</w:t>
      </w:r>
    </w:p>
    <w:p w14:paraId="0DDE4C76" w14:textId="2699A87A" w:rsidR="004711F7" w:rsidRDefault="00DB6D69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9">
        <w:rPr>
          <w:rFonts w:ascii="Times New Roman" w:hAnsi="Times New Roman" w:cs="Times New Roman"/>
          <w:sz w:val="24"/>
          <w:szCs w:val="24"/>
        </w:rPr>
        <w:t>DADOS DE IDENTIFICAÇÃO DO CANDIDATO</w:t>
      </w:r>
    </w:p>
    <w:p w14:paraId="47E5E259" w14:textId="59295E8D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DB6D69" w14:paraId="1409347B" w14:textId="77777777" w:rsidTr="00DB6D69">
        <w:tc>
          <w:tcPr>
            <w:tcW w:w="302" w:type="dxa"/>
          </w:tcPr>
          <w:p w14:paraId="45C13FE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E3C85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24707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FC51C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D9845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B63F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BCFEB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48E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69B31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538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1CB019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C763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46EF7B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22E18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31F58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A4B91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5EBF4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DC67D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88C900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93BE5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F927E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27CBA2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D95C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89F1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BB8A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AD7B83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C2A56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0BD8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83E52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8FA951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06C6C" w14:textId="77777777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C9D5" w14:textId="33269D46" w:rsidR="00DB6D69" w:rsidRDefault="009B3A37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Nº de Identidade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Órgão Expedidor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CDE">
        <w:rPr>
          <w:rFonts w:ascii="Times New Roman" w:hAnsi="Times New Roman" w:cs="Times New Roman"/>
          <w:sz w:val="24"/>
          <w:szCs w:val="24"/>
        </w:rPr>
        <w:t xml:space="preserve">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UF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D69" w:rsidRPr="00DB6D69">
        <w:rPr>
          <w:rFonts w:ascii="Times New Roman" w:hAnsi="Times New Roman" w:cs="Times New Roman"/>
          <w:sz w:val="24"/>
          <w:szCs w:val="24"/>
        </w:rPr>
        <w:t>Nº de Inscrição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A01CDE" w14:paraId="7227EE6A" w14:textId="77777777" w:rsidTr="00A01CDE">
        <w:tc>
          <w:tcPr>
            <w:tcW w:w="302" w:type="dxa"/>
          </w:tcPr>
          <w:p w14:paraId="1A9C23C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1666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6E210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651F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B3B96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1DBF570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4E63A7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1C5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30A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0E23C0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814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3862A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2D793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90C119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6C4CAECD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ADCB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5153A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45D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343D465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2DC0EC5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E8C5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CA56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14B175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069A7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614B2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8D1BB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D21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B2071F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C8144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F478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36A3" w14:textId="77777777" w:rsidR="00A01CDE" w:rsidRDefault="00A01CDE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236"/>
        <w:gridCol w:w="4820"/>
      </w:tblGrid>
      <w:tr w:rsidR="0070441E" w:rsidRPr="00901096" w14:paraId="703D678D" w14:textId="1EB726C2" w:rsidTr="0070441E">
        <w:trPr>
          <w:jc w:val="center"/>
        </w:trPr>
        <w:tc>
          <w:tcPr>
            <w:tcW w:w="4510" w:type="dxa"/>
          </w:tcPr>
          <w:p w14:paraId="524BAA24" w14:textId="16F194EA" w:rsidR="009B3A37" w:rsidRPr="00901096" w:rsidRDefault="009B3A37" w:rsidP="002F3E75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INSTRUÇÕES: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422"/>
            </w:tblGrid>
            <w:tr w:rsidR="009B3A37" w:rsidRPr="00901096" w14:paraId="6A6AB86C" w14:textId="77777777" w:rsidTr="008D79B5">
              <w:tc>
                <w:tcPr>
                  <w:tcW w:w="593" w:type="dxa"/>
                </w:tcPr>
                <w:p w14:paraId="587208C7" w14:textId="34B19CC5" w:rsidR="009B3A37" w:rsidRPr="00901096" w:rsidRDefault="009B3A37" w:rsidP="009B3A37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A896A76" wp14:editId="57A82940">
                        <wp:extent cx="286295" cy="286295"/>
                        <wp:effectExtent l="0" t="0" r="0" b="0"/>
                        <wp:docPr id="142161313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88" cy="287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2" w:type="dxa"/>
                  <w:vAlign w:val="center"/>
                </w:tcPr>
                <w:p w14:paraId="29C7A0A6" w14:textId="0E5401E4" w:rsidR="009B3A37" w:rsidRPr="00901096" w:rsidRDefault="00391EA8" w:rsidP="009B3A37">
                  <w:pPr>
                    <w:ind w:hanging="125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Prova</w:t>
                  </w:r>
                </w:p>
              </w:tc>
            </w:tr>
          </w:tbl>
          <w:p w14:paraId="096A8FB0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Além deste CADERNO DE QUESTÕES, você deverá receber o CARTÃO DE RESPOSTAS. </w:t>
            </w:r>
          </w:p>
          <w:p w14:paraId="097FDE1A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Preencha os dados de identificação solicitados no CADERNO DE QUESTÕES e no CARTÃO DE RESPOSTAS de caneta azul ou preta.</w:t>
            </w:r>
          </w:p>
          <w:p w14:paraId="57C99FEF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Cada questão proposta apresenta quatro opções de resposta, sendo apenas uma delas a correta. A questão</w:t>
            </w:r>
          </w:p>
          <w:p w14:paraId="6D096CC3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que tiver sem opção assinalada receberá pontuação zero, assim como a que apresentar mais de uma opção</w:t>
            </w:r>
          </w:p>
          <w:p w14:paraId="580A6E03" w14:textId="60BB32D0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assinalada, mesmo que dentre elas se encontre a correta.</w:t>
            </w:r>
          </w:p>
          <w:p w14:paraId="652C943E" w14:textId="3E1E7FA6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O CARTÃO DE RESPOSTAS é o único documento de correção, devendo ser preenchido com bastante atenção, </w:t>
            </w: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à caneta esferográfica, azul ou preta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, ponta grossa, marcando uma única alternativa em cada questão. Não rasure, não amasse nem dobre o CARTÃO DE RESPOSTAS; </w:t>
            </w:r>
            <w:r w:rsidR="00901096" w:rsidRPr="00901096">
              <w:rPr>
                <w:rFonts w:ascii="Bahnschrift" w:hAnsi="Bahnschrift" w:cs="Arial"/>
                <w:sz w:val="18"/>
                <w:szCs w:val="18"/>
              </w:rPr>
              <w:t>é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 vedada a substituição do CARTÃO DE RESPOSTAS decorrente de erro cometido por candidato.</w:t>
            </w:r>
          </w:p>
          <w:p w14:paraId="31919C7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Aguarde autorização para abrir o caderno de provas.</w:t>
            </w:r>
          </w:p>
          <w:p w14:paraId="3A2B96C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Após a autorização para o início da prova, confira-a, com a máxima atenção, observando se há algum defeito (de encadernação ou de impressão) que possa dificultar a sua compreensão.</w:t>
            </w:r>
          </w:p>
          <w:p w14:paraId="340D16D0" w14:textId="6FE7EB5B" w:rsidR="00C23758" w:rsidRPr="00901096" w:rsidRDefault="009B3A37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 prova terá duração máxima de 4h (quatro horas), </w:t>
            </w:r>
            <w:r w:rsidR="00C23758" w:rsidRPr="00C23758">
              <w:rPr>
                <w:rFonts w:ascii="Bahnschrift" w:hAnsi="Bahnschrift" w:cs="Arial"/>
                <w:sz w:val="18"/>
                <w:szCs w:val="18"/>
              </w:rPr>
              <w:t>não podendo o candidato retirar-se com a prova antes</w:t>
            </w:r>
          </w:p>
        </w:tc>
        <w:tc>
          <w:tcPr>
            <w:tcW w:w="236" w:type="dxa"/>
          </w:tcPr>
          <w:p w14:paraId="7530E7E6" w14:textId="77777777" w:rsidR="009B3A37" w:rsidRPr="00901096" w:rsidRDefault="009B3A37" w:rsidP="002F3E75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5C2B16" w14:textId="184284DF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que transcorram 2 (duas) horas do seu início.</w:t>
            </w:r>
          </w:p>
          <w:p w14:paraId="54BBCB63" w14:textId="060253F9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A interpretação dos enunciados faz parte da aferição de conhecimentos. Não cabem, portanto, esclarecimentos.</w:t>
            </w:r>
          </w:p>
          <w:p w14:paraId="00C19A91" w14:textId="5732D900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 prova é composta de 30 (trinta) questões objetivas, verifique se este caderno está completo.</w:t>
            </w:r>
          </w:p>
          <w:p w14:paraId="2B4806B1" w14:textId="03BB1B24" w:rsidR="00D10982" w:rsidRPr="00901096" w:rsidRDefault="00696244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01 a 10 – </w:t>
            </w:r>
            <w:r w:rsidR="00D10982" w:rsidRPr="00901096">
              <w:rPr>
                <w:rFonts w:ascii="Bahnschrift" w:hAnsi="Bahnschrift" w:cs="Arial"/>
                <w:sz w:val="18"/>
                <w:szCs w:val="18"/>
              </w:rPr>
              <w:t>Saúde Pública. Sistema Único de Saúde. Vigilância em Saúde. Programa Nacional de Segurança do Paciente.</w:t>
            </w:r>
          </w:p>
          <w:p w14:paraId="4C9647DC" w14:textId="3B4F98C6" w:rsidR="00696244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11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a 3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0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– Conhecimentos Específicos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711"/>
            </w:tblGrid>
            <w:tr w:rsidR="00696244" w:rsidRPr="00901096" w14:paraId="2E696D24" w14:textId="77777777" w:rsidTr="008D79B5">
              <w:tc>
                <w:tcPr>
                  <w:tcW w:w="642" w:type="dxa"/>
                </w:tcPr>
                <w:p w14:paraId="25774798" w14:textId="77777777" w:rsidR="00696244" w:rsidRPr="00901096" w:rsidRDefault="00696244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9B7F467" wp14:editId="5128109F">
                        <wp:extent cx="261257" cy="261257"/>
                        <wp:effectExtent l="0" t="0" r="5715" b="5715"/>
                        <wp:docPr id="88617308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74" cy="2690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  <w:vAlign w:val="center"/>
                </w:tcPr>
                <w:p w14:paraId="6C0246F7" w14:textId="77777777" w:rsidR="00696244" w:rsidRPr="00901096" w:rsidRDefault="00696244" w:rsidP="00696244">
                  <w:pPr>
                    <w:ind w:hanging="106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 xml:space="preserve">Não será permitido </w:t>
                  </w:r>
                </w:p>
              </w:tc>
            </w:tr>
          </w:tbl>
          <w:p w14:paraId="1D8CB7DA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Não serão permitidas consultas bibliográficas de qualquer espécie, impressos, anotações e/ou outro tipo de pesquisa, utilização de máquina calculadora, agendas eletrônicas ou similares, telefone celular, BIP, walkman, MP3, MP4, tablets, reprodutor de áudio ou de qualquer material.</w:t>
            </w:r>
          </w:p>
          <w:p w14:paraId="3A75DB65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É terminantemente proibida, sob qualquer alegação, a saída do candidato da sala de prova, antes de decorridas 2 horas, a contar de seu efetivo início.</w:t>
            </w:r>
          </w:p>
          <w:p w14:paraId="566E8A2E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O candidato não poderá ausentar-se da sala de prova sem o acompanhamento de um fiscal.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53"/>
            </w:tblGrid>
            <w:tr w:rsidR="00901096" w14:paraId="603E993D" w14:textId="77777777" w:rsidTr="008D79B5">
              <w:tc>
                <w:tcPr>
                  <w:tcW w:w="500" w:type="dxa"/>
                </w:tcPr>
                <w:p w14:paraId="57D9D219" w14:textId="343FC178" w:rsidR="00901096" w:rsidRDefault="00901096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ECD269D" wp14:editId="0246E6FB">
                        <wp:extent cx="255451" cy="223520"/>
                        <wp:effectExtent l="0" t="0" r="0" b="5080"/>
                        <wp:docPr id="66359981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48" cy="2263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3" w:type="dxa"/>
                  <w:vAlign w:val="center"/>
                </w:tcPr>
                <w:p w14:paraId="5A5DEC49" w14:textId="7E638AAD" w:rsidR="00901096" w:rsidRPr="00901096" w:rsidRDefault="00901096" w:rsidP="00901096">
                  <w:pPr>
                    <w:ind w:hanging="82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Informações gerais</w:t>
                  </w:r>
                </w:p>
              </w:tc>
            </w:tr>
          </w:tbl>
          <w:p w14:paraId="7AFD072D" w14:textId="77777777" w:rsidR="001D0A31" w:rsidRP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Certifique-se de ter assinado a lista de presença.</w:t>
            </w:r>
          </w:p>
          <w:p w14:paraId="232062F6" w14:textId="3FC5E936" w:rsid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Ao terminar sua Prova e preenchido o CARTÃO-RESPOSTA, desde que no horário estabelecido para deixar o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recinto de Prova, entregue o Cartão-Resposta ao Fiscal e deixe a sala em silêncio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  <w:p w14:paraId="73569D2A" w14:textId="0CACD60F" w:rsidR="001D0A31" w:rsidRPr="00901096" w:rsidRDefault="001D0A31" w:rsidP="00C23758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Sua prova poderá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ser invalidad</w:t>
            </w:r>
            <w:r>
              <w:rPr>
                <w:rFonts w:ascii="Bahnschrift" w:hAnsi="Bahnschrift" w:cs="Arial"/>
                <w:sz w:val="18"/>
                <w:szCs w:val="18"/>
              </w:rPr>
              <w:t>a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 xml:space="preserve"> se você não o assinar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o CARTÃO-RESPOSTA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</w:tc>
      </w:tr>
    </w:tbl>
    <w:p w14:paraId="12922E13" w14:textId="77777777" w:rsidR="003F4E66" w:rsidRDefault="003F4E66" w:rsidP="002F3E75">
      <w:pPr>
        <w:spacing w:after="0" w:line="240" w:lineRule="auto"/>
        <w:jc w:val="both"/>
        <w:rPr>
          <w:rFonts w:ascii="Arial" w:hAnsi="Arial" w:cs="Arial"/>
        </w:rPr>
        <w:sectPr w:rsidR="003F4E66" w:rsidSect="002738C1">
          <w:headerReference w:type="default" r:id="rId11"/>
          <w:pgSz w:w="11906" w:h="16838"/>
          <w:pgMar w:top="1135" w:right="1701" w:bottom="1417" w:left="1418" w:header="142" w:footer="708" w:gutter="0"/>
          <w:cols w:space="708"/>
          <w:docGrid w:linePitch="360"/>
        </w:sectPr>
      </w:pPr>
    </w:p>
    <w:p w14:paraId="383AC8D7" w14:textId="77777777" w:rsidR="003731C3" w:rsidRPr="00A74F6D" w:rsidRDefault="003731C3" w:rsidP="008B262C">
      <w:pPr>
        <w:spacing w:after="0" w:line="240" w:lineRule="auto"/>
        <w:jc w:val="center"/>
        <w:rPr>
          <w:rFonts w:cstheme="minorHAnsi"/>
          <w:b/>
          <w:bCs/>
          <w:sz w:val="23"/>
          <w:szCs w:val="23"/>
          <w:u w:val="single"/>
        </w:rPr>
      </w:pPr>
      <w:bookmarkStart w:id="0" w:name="_Hlk156556176"/>
      <w:r w:rsidRPr="00A74F6D">
        <w:rPr>
          <w:rFonts w:cstheme="minorHAnsi"/>
          <w:b/>
          <w:bCs/>
          <w:sz w:val="23"/>
          <w:szCs w:val="23"/>
          <w:u w:val="single"/>
        </w:rPr>
        <w:lastRenderedPageBreak/>
        <w:t>CONHECIMENTO GERAL</w:t>
      </w:r>
    </w:p>
    <w:p w14:paraId="4237A1F8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6"/>
          <w:szCs w:val="6"/>
          <w:u w:val="single"/>
        </w:rPr>
      </w:pPr>
    </w:p>
    <w:p w14:paraId="6B4D73F8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01</w:t>
      </w:r>
    </w:p>
    <w:bookmarkEnd w:id="0"/>
    <w:p w14:paraId="1566D8DF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Boas práticas em saúde, conforme definido pela ANVISA, referem-se a ações adotadas por prestadores de serviços para garantir a uniformidade na implementação de políticas de qualidade. Esses prestados devem estabelecer estratégias e ações voltadas para Segurança do Paciente. Entre essas ações estão mecanismos para:</w:t>
      </w:r>
    </w:p>
    <w:p w14:paraId="259AAC85" w14:textId="77777777" w:rsidR="003731C3" w:rsidRPr="00A74F6D" w:rsidRDefault="003731C3" w:rsidP="008B262C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Promover o autocuidado.</w:t>
      </w:r>
    </w:p>
    <w:p w14:paraId="39D92510" w14:textId="77777777" w:rsidR="003731C3" w:rsidRPr="00A74F6D" w:rsidRDefault="003731C3" w:rsidP="008B262C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Prevenir lesão por pressão.</w:t>
      </w:r>
    </w:p>
    <w:p w14:paraId="5A6F99DF" w14:textId="77777777" w:rsidR="003731C3" w:rsidRPr="00A74F6D" w:rsidRDefault="003731C3" w:rsidP="008B262C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Estimular a proteção especifica. </w:t>
      </w:r>
    </w:p>
    <w:p w14:paraId="066EEFA9" w14:textId="77777777" w:rsidR="003731C3" w:rsidRPr="00A74F6D" w:rsidRDefault="003731C3" w:rsidP="008B262C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Estimular a promoção da saúde.</w:t>
      </w:r>
    </w:p>
    <w:p w14:paraId="68ECCC3B" w14:textId="77777777" w:rsidR="003731C3" w:rsidRPr="00A74F6D" w:rsidRDefault="003731C3" w:rsidP="008B262C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8"/>
          <w:szCs w:val="8"/>
        </w:rPr>
      </w:pPr>
    </w:p>
    <w:p w14:paraId="5F63E938" w14:textId="77777777" w:rsidR="003731C3" w:rsidRPr="00A74F6D" w:rsidRDefault="003731C3" w:rsidP="008B262C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02</w:t>
      </w:r>
    </w:p>
    <w:p w14:paraId="16F6F7DE" w14:textId="77777777" w:rsidR="003731C3" w:rsidRPr="00A74F6D" w:rsidRDefault="003731C3" w:rsidP="008B262C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 criação do Núcleo de Segurança do Paciente ocorreu por meio da Portaria GM/MS nº 529/2013, e deve-se a inúmeras campanhas internacionais fomentadas pela Organização Mundial de Saúde (OMS). Em relação ao que compete ao Núcleo de Segurança do Paciente-NSP, marque a alternativa correta. </w:t>
      </w:r>
    </w:p>
    <w:p w14:paraId="1B8FB00E" w14:textId="77777777" w:rsidR="003731C3" w:rsidRPr="00A74F6D" w:rsidRDefault="003731C3" w:rsidP="008B262C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Promover ações para a gestão de epidemiológica no serviço de saúde.</w:t>
      </w:r>
    </w:p>
    <w:p w14:paraId="7261C999" w14:textId="77777777" w:rsidR="003731C3" w:rsidRPr="00A74F6D" w:rsidRDefault="003731C3" w:rsidP="008B262C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Desenvolver ações para a integração e a articulação com foco na equipe médica no serviço de saúde.</w:t>
      </w:r>
    </w:p>
    <w:p w14:paraId="2C7FDB7C" w14:textId="77777777" w:rsidR="003731C3" w:rsidRPr="00A74F6D" w:rsidRDefault="003731C3" w:rsidP="008B262C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Fornecer equipamento de proteção individual adequado ao risco dos profissionais.</w:t>
      </w:r>
    </w:p>
    <w:p w14:paraId="4013E2E9" w14:textId="77777777" w:rsidR="003731C3" w:rsidRPr="00A74F6D" w:rsidRDefault="003731C3" w:rsidP="008B262C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Estabelecer barreiras para a prevenção de incidentes nos serviços de saúde.</w:t>
      </w:r>
    </w:p>
    <w:p w14:paraId="55F4EDB1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14:paraId="304F9278" w14:textId="77777777" w:rsidR="003731C3" w:rsidRPr="00A74F6D" w:rsidRDefault="003731C3" w:rsidP="008B262C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03</w:t>
      </w:r>
    </w:p>
    <w:p w14:paraId="77B2C009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O Sistema Único de Saúde (SUS) é um dos maiores e mais complexos sistemas de saúde pública do mundo. Com base na Lei 8.080/90, que define a saúde como um direito de todos e um dever do Estado, qual princípio do SUS se destaca na seguinte descrição:</w:t>
      </w:r>
    </w:p>
    <w:p w14:paraId="1F7E0D30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 “A saúde é um direito de todos e é um dever do Poder Público a provisão de serviços e de ações que lhe garanta, colocando também o desafio de oferta de serviços e ações de saúde a todos que deles necessitem, enfatizando as ações preventivas e reduzindo o tratamento de agravos”.</w:t>
      </w:r>
    </w:p>
    <w:p w14:paraId="41CC9DEA" w14:textId="77777777" w:rsidR="003731C3" w:rsidRPr="00A74F6D" w:rsidRDefault="003731C3" w:rsidP="008B262C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Equidade. </w:t>
      </w:r>
    </w:p>
    <w:p w14:paraId="61D2EBAE" w14:textId="77777777" w:rsidR="003731C3" w:rsidRPr="00A74F6D" w:rsidRDefault="003731C3" w:rsidP="008B262C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Integralidade.</w:t>
      </w:r>
    </w:p>
    <w:p w14:paraId="73A84B99" w14:textId="77777777" w:rsidR="003731C3" w:rsidRPr="00A74F6D" w:rsidRDefault="003731C3" w:rsidP="008B262C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Universalidade. </w:t>
      </w:r>
    </w:p>
    <w:p w14:paraId="1A69212C" w14:textId="77777777" w:rsidR="003731C3" w:rsidRPr="00A74F6D" w:rsidRDefault="003731C3" w:rsidP="008B262C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Hierarquização.</w:t>
      </w:r>
    </w:p>
    <w:p w14:paraId="4E2A60BD" w14:textId="77777777" w:rsidR="003731C3" w:rsidRPr="00A74F6D" w:rsidRDefault="003731C3" w:rsidP="008B262C">
      <w:pPr>
        <w:pStyle w:val="PargrafodaLista"/>
        <w:tabs>
          <w:tab w:val="left" w:pos="-142"/>
          <w:tab w:val="left" w:pos="142"/>
        </w:tabs>
        <w:spacing w:after="0" w:line="240" w:lineRule="auto"/>
        <w:ind w:left="284"/>
        <w:jc w:val="both"/>
        <w:rPr>
          <w:rFonts w:cstheme="minorHAnsi"/>
          <w:sz w:val="8"/>
          <w:szCs w:val="8"/>
        </w:rPr>
      </w:pPr>
    </w:p>
    <w:p w14:paraId="4ACDFEA3" w14:textId="77777777" w:rsidR="003731C3" w:rsidRPr="00A74F6D" w:rsidRDefault="003731C3" w:rsidP="008B262C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04</w:t>
      </w:r>
    </w:p>
    <w:p w14:paraId="5BAE9419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Os princípios e as diretrizes do Sistema Único de Saúde (SUS) constituem as bases para o funcionamento e a organização do sistema de saúde em nosso país, sendo a base legal do SUS constituída, </w:t>
      </w:r>
      <w:r w:rsidRPr="00A74F6D">
        <w:rPr>
          <w:rFonts w:cstheme="minorHAnsi"/>
          <w:sz w:val="23"/>
          <w:szCs w:val="23"/>
        </w:rPr>
        <w:t>fundamentalmente, por três documentos que expressam os elementos básicos que estruturam e organizam o sistema de saúde brasileiro; analise-os.</w:t>
      </w:r>
    </w:p>
    <w:p w14:paraId="5374579A" w14:textId="77777777" w:rsidR="003731C3" w:rsidRPr="00A74F6D" w:rsidRDefault="003731C3" w:rsidP="008B262C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Constituição Federal de 1988, na qual a saúde é um dos setores que estruturam a seguridade social, ao lado da previdência e da assistência social.</w:t>
      </w:r>
    </w:p>
    <w:p w14:paraId="31518497" w14:textId="77777777" w:rsidR="003731C3" w:rsidRPr="00A74F6D" w:rsidRDefault="003731C3" w:rsidP="008B262C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 Lei nº 8.080/1990, também conhecida como a Lei Orgânica da Saúde e que dispõe, principalmente, sobre a organização e a regulação das ações e serviços de saúde em todo território nacional. </w:t>
      </w:r>
    </w:p>
    <w:p w14:paraId="1F585FF0" w14:textId="77777777" w:rsidR="003731C3" w:rsidRPr="00A74F6D" w:rsidRDefault="003731C3" w:rsidP="008B262C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 Lei nº 8.142/1990, que estabelece o formato da participação da comunidade no SUS e dispõe sobre as transferências intergovernamentais de recursos financeiros na área da saúde. </w:t>
      </w:r>
    </w:p>
    <w:p w14:paraId="1C652DD1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Assinale a alternativa CORRETA.</w:t>
      </w:r>
    </w:p>
    <w:p w14:paraId="709B642B" w14:textId="77777777" w:rsidR="003731C3" w:rsidRPr="00A74F6D" w:rsidRDefault="003731C3" w:rsidP="008B262C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I, II e III. </w:t>
      </w:r>
    </w:p>
    <w:p w14:paraId="145EBD22" w14:textId="77777777" w:rsidR="003731C3" w:rsidRPr="00A74F6D" w:rsidRDefault="003731C3" w:rsidP="008B262C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I, apenas. </w:t>
      </w:r>
    </w:p>
    <w:p w14:paraId="118A9067" w14:textId="77777777" w:rsidR="003731C3" w:rsidRPr="00A74F6D" w:rsidRDefault="003731C3" w:rsidP="008B262C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 e II, apenas. </w:t>
      </w:r>
    </w:p>
    <w:p w14:paraId="0BD28B19" w14:textId="77777777" w:rsidR="003731C3" w:rsidRPr="00A74F6D" w:rsidRDefault="003731C3" w:rsidP="008B262C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 e III, apenas.</w:t>
      </w:r>
    </w:p>
    <w:p w14:paraId="272F0318" w14:textId="77777777" w:rsidR="003731C3" w:rsidRPr="00A74F6D" w:rsidRDefault="003731C3" w:rsidP="008B262C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51966E5C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05</w:t>
      </w:r>
    </w:p>
    <w:p w14:paraId="13149392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As Redes de Atenção à Saúde, na condição de produtos das ações de políticas que fortalecem e cumprem as diretrizes do SUS, configuram um arranjo que busca garantir a universalidade do atendimento em saúde, ou seja, ampliar acesso e em tempo oportuno e de forma integral. Pensando em redes de atenção à saúde, analise as afirmativas:</w:t>
      </w:r>
    </w:p>
    <w:p w14:paraId="176DFAD8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I. As redes de atenção à saúde constituem-se de três elementos fundamentais: uma população e as regiões de saúde, uma estrutura operacional e um modelo de atenção à saúde.</w:t>
      </w:r>
    </w:p>
    <w:p w14:paraId="713CE9C9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II. A população de responsabilidade das redes de atenção à saúde vive em territórios sanitários, organiza-se socialmente em famílias e é cadastrada e registrada em subpopulações por riscos </w:t>
      </w:r>
      <w:proofErr w:type="spellStart"/>
      <w:r w:rsidRPr="00A74F6D">
        <w:rPr>
          <w:rFonts w:cstheme="minorHAnsi"/>
          <w:sz w:val="23"/>
          <w:szCs w:val="23"/>
        </w:rPr>
        <w:t>sociossanitários</w:t>
      </w:r>
      <w:proofErr w:type="spellEnd"/>
      <w:r w:rsidRPr="00A74F6D">
        <w:rPr>
          <w:rFonts w:cstheme="minorHAnsi"/>
          <w:sz w:val="23"/>
          <w:szCs w:val="23"/>
        </w:rPr>
        <w:t>.</w:t>
      </w:r>
    </w:p>
    <w:p w14:paraId="48E1C280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III. O conhecimento detalhado da população usuária de um sistema de atenção à saúde é o elemento fundamental que torna possível romper com a gestão baseada na oferta, característica dos sistemas fragmentados, e instituir a gestão fincada nas necessidades de saúde da população, elemento essencial das redes de atenção à saúde.</w:t>
      </w:r>
    </w:p>
    <w:p w14:paraId="17EF735B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IV. A Atenção Básica deve ser entendida como porta de entrada da Rede de Atenção à Saúde, como ordenadora do sistema de saúde brasileiro.</w:t>
      </w:r>
    </w:p>
    <w:p w14:paraId="58292F24" w14:textId="77777777" w:rsidR="003731C3" w:rsidRPr="00A74F6D" w:rsidRDefault="003731C3" w:rsidP="008B262C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Estão corretas as afirmativas:</w:t>
      </w:r>
    </w:p>
    <w:p w14:paraId="3F02640D" w14:textId="77777777" w:rsidR="003731C3" w:rsidRPr="00A74F6D" w:rsidRDefault="003731C3" w:rsidP="008B262C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I, III e IV</w:t>
      </w:r>
    </w:p>
    <w:p w14:paraId="59C516BF" w14:textId="77777777" w:rsidR="003731C3" w:rsidRPr="00A74F6D" w:rsidRDefault="003731C3" w:rsidP="008B262C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II, III e IV</w:t>
      </w:r>
    </w:p>
    <w:p w14:paraId="790676EC" w14:textId="77777777" w:rsidR="003731C3" w:rsidRPr="00A74F6D" w:rsidRDefault="003731C3" w:rsidP="008B262C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I, II, III e IV</w:t>
      </w:r>
    </w:p>
    <w:p w14:paraId="080D3E43" w14:textId="77777777" w:rsidR="003731C3" w:rsidRPr="00A74F6D" w:rsidRDefault="003731C3" w:rsidP="008B262C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I, II e IV</w:t>
      </w:r>
    </w:p>
    <w:p w14:paraId="7F1A53FF" w14:textId="77777777" w:rsidR="003731C3" w:rsidRPr="00A74F6D" w:rsidRDefault="003731C3" w:rsidP="008B262C">
      <w:pPr>
        <w:spacing w:after="0" w:line="240" w:lineRule="auto"/>
        <w:ind w:firstLine="426"/>
        <w:jc w:val="both"/>
        <w:rPr>
          <w:rFonts w:cstheme="minorHAnsi"/>
          <w:sz w:val="23"/>
          <w:szCs w:val="23"/>
        </w:rPr>
      </w:pPr>
    </w:p>
    <w:p w14:paraId="30155EAA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lastRenderedPageBreak/>
        <w:t>QUESTÃO 06</w:t>
      </w:r>
    </w:p>
    <w:p w14:paraId="3EDD7181" w14:textId="77777777" w:rsidR="003731C3" w:rsidRPr="00A74F6D" w:rsidRDefault="003731C3" w:rsidP="008B262C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As boas práticas de funcionamento do serviço de saúde são entendidas como componentes da garantia da qualidade que asseguram que os serviços são ofertados com padrões de qualidade adequados. </w:t>
      </w:r>
    </w:p>
    <w:p w14:paraId="50584238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A74F6D">
        <w:rPr>
          <w:rFonts w:cstheme="minorHAnsi"/>
          <w:b/>
          <w:bCs/>
          <w:sz w:val="23"/>
          <w:szCs w:val="23"/>
        </w:rPr>
        <w:t>Coluna 1</w:t>
      </w:r>
    </w:p>
    <w:p w14:paraId="64F14ECF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1 – Cultura da segurança: </w:t>
      </w:r>
    </w:p>
    <w:p w14:paraId="18694DB1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2 – Dano: </w:t>
      </w:r>
    </w:p>
    <w:p w14:paraId="1AD647C2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3– Evento adverso: </w:t>
      </w:r>
    </w:p>
    <w:p w14:paraId="298BA9C1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4 – Incidente: </w:t>
      </w:r>
    </w:p>
    <w:p w14:paraId="6DFC2781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A74F6D">
        <w:rPr>
          <w:rFonts w:cstheme="minorHAnsi"/>
          <w:b/>
          <w:bCs/>
          <w:sz w:val="23"/>
          <w:szCs w:val="23"/>
        </w:rPr>
        <w:t>Coluna 2</w:t>
      </w:r>
    </w:p>
    <w:p w14:paraId="7D846A42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conjunto de valores, atitudes, competências e comportamentos que determinam o comprometimento com a gestão da saúde e da segurança, substituindo a culpa e a punição pela oportunidade de aprender com as falhas e melhorar a atenção à saúde;</w:t>
      </w:r>
    </w:p>
    <w:p w14:paraId="5BED637B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comprometimento da estrutura ou função do corpo e/ou qualquer efeito dele oriundo, incluindo doenças, lesão, sofrimento, morte, incapacidade ou disfunção, podendo, assim, ser físico, social ou psicológico;</w:t>
      </w:r>
    </w:p>
    <w:p w14:paraId="3D0E491D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incidente que resulta em danos à saúde; </w:t>
      </w:r>
    </w:p>
    <w:p w14:paraId="6817B8CC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evento ou circunstância que poderia ter resultado, ou resultou, em dano desnecessário à saúde;</w:t>
      </w:r>
    </w:p>
    <w:p w14:paraId="71194D16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Relacione a coluna 1 com a Coluna 2:</w:t>
      </w:r>
    </w:p>
    <w:p w14:paraId="72AF432B" w14:textId="77777777" w:rsidR="003731C3" w:rsidRPr="00A74F6D" w:rsidRDefault="003731C3" w:rsidP="008B262C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1a, 2b, 3c, 4d.</w:t>
      </w:r>
    </w:p>
    <w:p w14:paraId="48B0C454" w14:textId="77777777" w:rsidR="003731C3" w:rsidRPr="00A74F6D" w:rsidRDefault="003731C3" w:rsidP="008B262C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1b, 2c, 3a, 4d.</w:t>
      </w:r>
    </w:p>
    <w:p w14:paraId="4068A029" w14:textId="77777777" w:rsidR="003731C3" w:rsidRPr="00A74F6D" w:rsidRDefault="003731C3" w:rsidP="008B262C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1a, 2d, 3c, 4a.</w:t>
      </w:r>
    </w:p>
    <w:p w14:paraId="08D50FFA" w14:textId="77777777" w:rsidR="003731C3" w:rsidRPr="00A74F6D" w:rsidRDefault="003731C3" w:rsidP="008B262C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1c, 2d, 3c, 4b.</w:t>
      </w:r>
    </w:p>
    <w:p w14:paraId="70D29D71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5AEEFE05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07</w:t>
      </w:r>
    </w:p>
    <w:p w14:paraId="1D93FD54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Podemos definir Indicadores de Saúde como instrumentos utilizados para medir uma realidade, como parâmetro norteador, instrumento de gerenciamento, avaliação e planejamento das ações na saúde, de modo a permitir mudanças nos processos e resultados.</w:t>
      </w:r>
    </w:p>
    <w:p w14:paraId="516A4E7D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Sobre medidas de frequência das doenças e indicadores de saúde, verifique as alternativas e assinale a </w:t>
      </w:r>
      <w:r w:rsidRPr="00A74F6D">
        <w:rPr>
          <w:rFonts w:cstheme="minorHAnsi"/>
          <w:b/>
          <w:bCs/>
          <w:sz w:val="23"/>
          <w:szCs w:val="23"/>
        </w:rPr>
        <w:t>INCORRETA.</w:t>
      </w:r>
    </w:p>
    <w:p w14:paraId="7651FC7B" w14:textId="77777777" w:rsidR="003731C3" w:rsidRPr="00A74F6D" w:rsidRDefault="003731C3" w:rsidP="008B262C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Prevalência é a medida do número total de casos existentes de uma doença em um ponto ou período de tempo e em uma população determinada, sem distinguir se são casos novos ou não.</w:t>
      </w:r>
    </w:p>
    <w:p w14:paraId="424FEA2D" w14:textId="77777777" w:rsidR="003731C3" w:rsidRPr="00A74F6D" w:rsidRDefault="003731C3" w:rsidP="008B262C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incidência é um indicador da velocidade de ocorrência de uma doença ou outro evento de saúde na população e, consequentemente, indica exatamente as pessoas que irão ser afetadas por essa doença.</w:t>
      </w:r>
    </w:p>
    <w:p w14:paraId="0ED7A4FB" w14:textId="77777777" w:rsidR="003731C3" w:rsidRPr="00A74F6D" w:rsidRDefault="003731C3" w:rsidP="008B262C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prevalência é um indicador da magnitude da presença de uma doença ou outro evento de saúde na população.</w:t>
      </w:r>
    </w:p>
    <w:p w14:paraId="01E0E27E" w14:textId="77777777" w:rsidR="003731C3" w:rsidRPr="00A74F6D" w:rsidRDefault="003731C3" w:rsidP="008B262C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Incidência é a medida do número de casos novos de uma doença, originados de uma população em risco de sofrê-la, durante um período de tempo determinado.</w:t>
      </w:r>
    </w:p>
    <w:p w14:paraId="2B5D9CD2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14:paraId="4155DBBD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08</w:t>
      </w:r>
    </w:p>
    <w:p w14:paraId="15DBBC07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O Departamento de articulação interfederativa trabalha em prol do fortalecimento da capacidade de gestão e da articulação entre os gestores do SUS nas três esferas da Federação, por meio de instrumentos e mecanismos efetivos de governança, na perspectiva da garantia do pleno usufruto do direito à saúde. O Decreto nº 7.508 de 28 de junho de 2011, cumpre, dentre outras, a função primordial de:</w:t>
      </w:r>
    </w:p>
    <w:p w14:paraId="29C90E45" w14:textId="77777777" w:rsidR="003731C3" w:rsidRPr="00A74F6D" w:rsidRDefault="003731C3" w:rsidP="008B262C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Promover a organização de uma rede regionalizada e hierarquizada, tendo a atenção básica como coordenadora.</w:t>
      </w:r>
    </w:p>
    <w:p w14:paraId="2135299C" w14:textId="77777777" w:rsidR="003731C3" w:rsidRPr="00A74F6D" w:rsidRDefault="003731C3" w:rsidP="008B262C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Pactuar regras de financiamento de base estadual e macrorregional, segundo a organização dos planos estaduais de saúde.</w:t>
      </w:r>
    </w:p>
    <w:p w14:paraId="0F8A1686" w14:textId="77777777" w:rsidR="003731C3" w:rsidRPr="00A74F6D" w:rsidRDefault="003731C3" w:rsidP="008B262C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Propor novas estruturas de “governança” e o papel dos gestores no processo de regionalização do sus.</w:t>
      </w:r>
    </w:p>
    <w:p w14:paraId="3F8EC5C8" w14:textId="77777777" w:rsidR="003731C3" w:rsidRPr="00A74F6D" w:rsidRDefault="003731C3" w:rsidP="008B262C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Organizar a participação social junto aos colegiados de gestão regional, estadual e macrorregionais.</w:t>
      </w:r>
    </w:p>
    <w:p w14:paraId="63465ED9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DB198D4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09</w:t>
      </w:r>
    </w:p>
    <w:p w14:paraId="4140C95E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Vigilância Epidemiológica é definida pela Lei n° 8.080/90 como “um conjunto de ações que proporciona o conhecimento, a detecção ou prevenção de qualquer mudança nos fatores determinantes e condicionantes de saúde individual ou coletiva, com a finalidade de recomendar e adotar as medidas de prevenção e controle das doenças ou agravos”. Sobre os conceitos aplicados na vigilância epidemiológica, é INCORRETO afirmar:</w:t>
      </w:r>
    </w:p>
    <w:p w14:paraId="6D79F882" w14:textId="77777777" w:rsidR="003731C3" w:rsidRPr="00A74F6D" w:rsidRDefault="003731C3" w:rsidP="008B262C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epidemiologia descritiva consiste na descrição da distribuição, em termos de frequência, da ocorrência de doenças ou agravos à saúde com relação ao tempo, local e dados pessoais.</w:t>
      </w:r>
    </w:p>
    <w:p w14:paraId="7B3F7980" w14:textId="77777777" w:rsidR="003731C3" w:rsidRPr="00A74F6D" w:rsidRDefault="003731C3" w:rsidP="008B262C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distribuição dos casos de determinada doença por período de tempo (semanal, mensal, anual) permite verificar como a doença evolui.</w:t>
      </w:r>
    </w:p>
    <w:p w14:paraId="4D252174" w14:textId="77777777" w:rsidR="003731C3" w:rsidRPr="00A74F6D" w:rsidRDefault="003731C3" w:rsidP="008B262C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variação sazonal ocorre apenas quando a incidência da doença aumenta sempre, periodicamente, em alguma época ou estações do ano.</w:t>
      </w:r>
    </w:p>
    <w:p w14:paraId="24814605" w14:textId="77777777" w:rsidR="003731C3" w:rsidRPr="00A74F6D" w:rsidRDefault="003731C3" w:rsidP="008B262C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 epidemiologia descritiva permite levantar hipóteses (explicações possíveis), influenciando, assim, na produção de conhecimentos novos.</w:t>
      </w:r>
    </w:p>
    <w:p w14:paraId="0E67F05B" w14:textId="77777777" w:rsidR="003731C3" w:rsidRPr="00A74F6D" w:rsidRDefault="003731C3" w:rsidP="008B262C">
      <w:pPr>
        <w:spacing w:after="0" w:line="240" w:lineRule="auto"/>
        <w:ind w:firstLine="426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447C91EC" w14:textId="77777777" w:rsidR="003731C3" w:rsidRPr="00A74F6D" w:rsidRDefault="003731C3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10</w:t>
      </w:r>
    </w:p>
    <w:p w14:paraId="79F6F3C8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lastRenderedPageBreak/>
        <w:t>A LEI Nº 8.142, DE 28 DE DEZEMBRO DE 1990, estabelece instâncias de participação da comunidade na gestão do Sistema Único de Saúde (SUS). Assinale a alternativa que descreve as esferas de gestão que essas instancias são obrigatórias.</w:t>
      </w:r>
    </w:p>
    <w:p w14:paraId="11F332D3" w14:textId="77777777" w:rsidR="003731C3" w:rsidRPr="00A74F6D" w:rsidRDefault="003731C3" w:rsidP="008B262C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Conselho de Saúde na esfera federal e Conferências de Saúde nas esferas Estadual e Municipal.</w:t>
      </w:r>
    </w:p>
    <w:p w14:paraId="39F1832C" w14:textId="77777777" w:rsidR="003731C3" w:rsidRPr="00A74F6D" w:rsidRDefault="003731C3" w:rsidP="008B262C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Conselhos de Saúde e Conferências de Saúde em todas as esferas de gestão.</w:t>
      </w:r>
    </w:p>
    <w:p w14:paraId="01420382" w14:textId="77777777" w:rsidR="003731C3" w:rsidRPr="00A74F6D" w:rsidRDefault="003731C3" w:rsidP="008B262C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Conselhos de Saúde em todas as esferas de gestão e Conferência de Saúde na esfera Federal.</w:t>
      </w:r>
    </w:p>
    <w:p w14:paraId="5C8D4181" w14:textId="77777777" w:rsidR="003731C3" w:rsidRPr="00A74F6D" w:rsidRDefault="003731C3" w:rsidP="008B262C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Conferência de Saúde na esfera Federal e Conselhos de Saúde nas esferas Estadual e Municipal.</w:t>
      </w:r>
    </w:p>
    <w:p w14:paraId="6E2E2126" w14:textId="77777777" w:rsidR="003731C3" w:rsidRPr="00A74F6D" w:rsidRDefault="003731C3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74A9B9E3" w14:textId="03C9BD21" w:rsidR="003F4E66" w:rsidRPr="00A74F6D" w:rsidRDefault="003F4E66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A74F6D">
        <w:rPr>
          <w:rFonts w:cstheme="minorHAnsi"/>
          <w:b/>
          <w:bCs/>
          <w:sz w:val="23"/>
          <w:szCs w:val="23"/>
        </w:rPr>
        <w:t>CONHECIMENTO ESPECÍFICO</w:t>
      </w:r>
    </w:p>
    <w:p w14:paraId="14FCCA1B" w14:textId="77777777" w:rsidR="003F4E66" w:rsidRPr="00A74F6D" w:rsidRDefault="003F4E66" w:rsidP="008B262C">
      <w:pPr>
        <w:tabs>
          <w:tab w:val="left" w:pos="-142"/>
        </w:tabs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6FFF2AD7" w14:textId="77777777" w:rsidR="00A63907" w:rsidRPr="00A74F6D" w:rsidRDefault="00A63907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11</w:t>
      </w:r>
    </w:p>
    <w:p w14:paraId="045457E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No tratamento das infecções orais e </w:t>
      </w:r>
      <w:proofErr w:type="spellStart"/>
      <w:r w:rsidRPr="00A74F6D">
        <w:rPr>
          <w:rFonts w:cstheme="minorHAnsi"/>
          <w:sz w:val="23"/>
          <w:szCs w:val="23"/>
        </w:rPr>
        <w:t>maxilofaciais</w:t>
      </w:r>
      <w:proofErr w:type="spellEnd"/>
      <w:r w:rsidRPr="00A74F6D">
        <w:rPr>
          <w:rFonts w:cstheme="minorHAnsi"/>
          <w:sz w:val="23"/>
          <w:szCs w:val="23"/>
        </w:rPr>
        <w:t xml:space="preserve"> é importante a compreensão das camadas </w:t>
      </w:r>
      <w:proofErr w:type="spellStart"/>
      <w:r w:rsidRPr="00A74F6D">
        <w:rPr>
          <w:rFonts w:cstheme="minorHAnsi"/>
          <w:sz w:val="23"/>
          <w:szCs w:val="23"/>
        </w:rPr>
        <w:t>fasciais</w:t>
      </w:r>
      <w:proofErr w:type="spellEnd"/>
      <w:r w:rsidRPr="00A74F6D">
        <w:rPr>
          <w:rFonts w:cstheme="minorHAnsi"/>
          <w:sz w:val="23"/>
          <w:szCs w:val="23"/>
        </w:rPr>
        <w:t xml:space="preserve"> e dos espaços anatômicos potenciais através dos quais as infecções podem se difundir na cabeça e no pescoço. O espaço facial que é definido superiormente pela mucosa do assoalho da boca e inferiormente pelo músculo </w:t>
      </w:r>
      <w:proofErr w:type="spellStart"/>
      <w:r w:rsidRPr="00A74F6D">
        <w:rPr>
          <w:rFonts w:cstheme="minorHAnsi"/>
          <w:sz w:val="23"/>
          <w:szCs w:val="23"/>
        </w:rPr>
        <w:t>milo-hióideo</w:t>
      </w:r>
      <w:proofErr w:type="spellEnd"/>
      <w:r w:rsidRPr="00A74F6D">
        <w:rPr>
          <w:rFonts w:cstheme="minorHAnsi"/>
          <w:sz w:val="23"/>
          <w:szCs w:val="23"/>
        </w:rPr>
        <w:t xml:space="preserve"> é:</w:t>
      </w:r>
    </w:p>
    <w:p w14:paraId="32BD5897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Espaço submandibular</w:t>
      </w:r>
    </w:p>
    <w:p w14:paraId="24FC759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Espaço </w:t>
      </w:r>
      <w:proofErr w:type="spellStart"/>
      <w:r w:rsidRPr="00A74F6D">
        <w:rPr>
          <w:rFonts w:cstheme="minorHAnsi"/>
          <w:sz w:val="23"/>
          <w:szCs w:val="23"/>
        </w:rPr>
        <w:t>milo-hióideo</w:t>
      </w:r>
      <w:proofErr w:type="spellEnd"/>
    </w:p>
    <w:p w14:paraId="0439034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Espaço sublingual</w:t>
      </w:r>
    </w:p>
    <w:p w14:paraId="1A40265F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Espaço bucal</w:t>
      </w:r>
    </w:p>
    <w:p w14:paraId="2A0CC0F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4AEEF6C" w14:textId="722182BF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12</w:t>
      </w:r>
    </w:p>
    <w:p w14:paraId="46545F69" w14:textId="2D118884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Existem várias complicações locais relacionadas à administração dos anestésicos locais em odontologia. Dentre elas, a paralisia do nervo facial geralmente ocorre por um erro profissional, com injeção do anestésico no lobo profundo da glândula parótida e resulta em paralisia transitória na movimentação dos músculos da expressão facial. O problema primário desta complicação é cosmético, em que o rosto do paciente se apresenta torto. Um problema secundário é que o paciente é incapaz de fechar voluntariamente a pálpebra superior de um olho. Qual técnica anestésica que está relacionada a complicação descrita acima:</w:t>
      </w:r>
    </w:p>
    <w:p w14:paraId="2DDD0D2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Técnica do nervo mentual</w:t>
      </w:r>
    </w:p>
    <w:p w14:paraId="144E21A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Técnica </w:t>
      </w:r>
      <w:proofErr w:type="spellStart"/>
      <w:r w:rsidRPr="00A74F6D">
        <w:rPr>
          <w:rFonts w:cstheme="minorHAnsi"/>
          <w:sz w:val="23"/>
          <w:szCs w:val="23"/>
        </w:rPr>
        <w:t>pterigomandibular</w:t>
      </w:r>
      <w:proofErr w:type="spellEnd"/>
    </w:p>
    <w:p w14:paraId="146DDC0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Técnica do nervo alveolar superior posterior</w:t>
      </w:r>
    </w:p>
    <w:p w14:paraId="559E187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Técnica do nervo </w:t>
      </w:r>
      <w:proofErr w:type="spellStart"/>
      <w:r w:rsidRPr="00A74F6D">
        <w:rPr>
          <w:rFonts w:cstheme="minorHAnsi"/>
          <w:sz w:val="23"/>
          <w:szCs w:val="23"/>
        </w:rPr>
        <w:t>infra-orbital</w:t>
      </w:r>
      <w:proofErr w:type="spellEnd"/>
    </w:p>
    <w:p w14:paraId="2D1E2C2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4F71ADF" w14:textId="49DF5493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13</w:t>
      </w:r>
    </w:p>
    <w:p w14:paraId="798FDB15" w14:textId="79E3D88A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É uma lesão cística benigna que acomete com frequência a região posterior da mandíbula, sendo geralmente multilocular, com índices altos de recidiva ao tratamento. Tem uma tendência a se desenvolver </w:t>
      </w:r>
      <w:r w:rsidRPr="00A74F6D">
        <w:rPr>
          <w:rFonts w:cstheme="minorHAnsi"/>
          <w:sz w:val="23"/>
          <w:szCs w:val="23"/>
        </w:rPr>
        <w:t xml:space="preserve">no sentido anteroposterior através dos espaços medulares do osso. Apresenta uma cápsula fina e friável, sendo difícil de enuclear sem se fragmentar. Seu revestimento epitelial possui espessura de 6 a 8 células, com camada basal plana e células em paliçada e </w:t>
      </w:r>
      <w:proofErr w:type="spellStart"/>
      <w:r w:rsidRPr="00A74F6D">
        <w:rPr>
          <w:rFonts w:cstheme="minorHAnsi"/>
          <w:sz w:val="23"/>
          <w:szCs w:val="23"/>
        </w:rPr>
        <w:t>hipercromática</w:t>
      </w:r>
      <w:proofErr w:type="spellEnd"/>
      <w:r w:rsidRPr="00A74F6D">
        <w:rPr>
          <w:rFonts w:cstheme="minorHAnsi"/>
          <w:sz w:val="23"/>
          <w:szCs w:val="23"/>
        </w:rPr>
        <w:t xml:space="preserve">. Este cisto odontogênico pode estar relacionado a Síndrome de </w:t>
      </w:r>
      <w:proofErr w:type="spellStart"/>
      <w:r w:rsidRPr="00A74F6D">
        <w:rPr>
          <w:rFonts w:cstheme="minorHAnsi"/>
          <w:sz w:val="23"/>
          <w:szCs w:val="23"/>
        </w:rPr>
        <w:t>Gorlin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Goltz</w:t>
      </w:r>
      <w:proofErr w:type="spellEnd"/>
      <w:r w:rsidRPr="00A74F6D">
        <w:rPr>
          <w:rFonts w:cstheme="minorHAnsi"/>
          <w:sz w:val="23"/>
          <w:szCs w:val="23"/>
        </w:rPr>
        <w:t>. Assinale a alternativa correspondente a lesão descrita:</w:t>
      </w:r>
    </w:p>
    <w:p w14:paraId="1ED4A07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</w:t>
      </w:r>
      <w:proofErr w:type="spellStart"/>
      <w:r w:rsidRPr="00A74F6D">
        <w:rPr>
          <w:rFonts w:cstheme="minorHAnsi"/>
          <w:sz w:val="23"/>
          <w:szCs w:val="23"/>
        </w:rPr>
        <w:t>Ceratocisto</w:t>
      </w:r>
      <w:proofErr w:type="spellEnd"/>
      <w:r w:rsidRPr="00A74F6D">
        <w:rPr>
          <w:rFonts w:cstheme="minorHAnsi"/>
          <w:sz w:val="23"/>
          <w:szCs w:val="23"/>
        </w:rPr>
        <w:t xml:space="preserve"> odontogênico</w:t>
      </w:r>
    </w:p>
    <w:p w14:paraId="5E1C444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Cisto odontogênico </w:t>
      </w:r>
      <w:proofErr w:type="spellStart"/>
      <w:r w:rsidRPr="00A74F6D">
        <w:rPr>
          <w:rFonts w:cstheme="minorHAnsi"/>
          <w:sz w:val="23"/>
          <w:szCs w:val="23"/>
        </w:rPr>
        <w:t>botrióide</w:t>
      </w:r>
      <w:proofErr w:type="spellEnd"/>
    </w:p>
    <w:p w14:paraId="7D7526B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Cisto odontogênico </w:t>
      </w:r>
      <w:proofErr w:type="spellStart"/>
      <w:r w:rsidRPr="00A74F6D">
        <w:rPr>
          <w:rFonts w:cstheme="minorHAnsi"/>
          <w:sz w:val="23"/>
          <w:szCs w:val="23"/>
        </w:rPr>
        <w:t>calcificante</w:t>
      </w:r>
      <w:proofErr w:type="spellEnd"/>
    </w:p>
    <w:p w14:paraId="125B5E8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Cisto </w:t>
      </w:r>
      <w:proofErr w:type="spellStart"/>
      <w:r w:rsidRPr="00A74F6D">
        <w:rPr>
          <w:rFonts w:cstheme="minorHAnsi"/>
          <w:sz w:val="23"/>
          <w:szCs w:val="23"/>
        </w:rPr>
        <w:t>dentígero</w:t>
      </w:r>
      <w:proofErr w:type="spellEnd"/>
    </w:p>
    <w:p w14:paraId="56451F8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14:paraId="2FD88077" w14:textId="1ACB4BC5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14</w:t>
      </w:r>
    </w:p>
    <w:p w14:paraId="34D66AE3" w14:textId="17BC5A14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 incisão conhecida como </w:t>
      </w:r>
      <w:proofErr w:type="spellStart"/>
      <w:r w:rsidRPr="00A74F6D">
        <w:rPr>
          <w:rFonts w:cstheme="minorHAnsi"/>
          <w:sz w:val="23"/>
          <w:szCs w:val="23"/>
        </w:rPr>
        <w:t>Risdon</w:t>
      </w:r>
      <w:proofErr w:type="spellEnd"/>
      <w:r w:rsidRPr="00A74F6D">
        <w:rPr>
          <w:rFonts w:cstheme="minorHAnsi"/>
          <w:sz w:val="23"/>
          <w:szCs w:val="23"/>
        </w:rPr>
        <w:t xml:space="preserve"> é bastante empregada no tratamento das fraturas </w:t>
      </w:r>
      <w:proofErr w:type="spellStart"/>
      <w:r w:rsidRPr="00A74F6D">
        <w:rPr>
          <w:rFonts w:cstheme="minorHAnsi"/>
          <w:sz w:val="23"/>
          <w:szCs w:val="23"/>
        </w:rPr>
        <w:t>buco-maxilo-faciais</w:t>
      </w:r>
      <w:proofErr w:type="spellEnd"/>
      <w:r w:rsidRPr="00A74F6D">
        <w:rPr>
          <w:rFonts w:cstheme="minorHAnsi"/>
          <w:sz w:val="23"/>
          <w:szCs w:val="23"/>
        </w:rPr>
        <w:t>, porém existe uma estrutura anatômica importante a ser preservada na execução desse acesso, e desta forma, minimizar o risco de neuropraxia no pós-operatório.  Qual estrutura anatômica é essa?</w:t>
      </w:r>
    </w:p>
    <w:p w14:paraId="20CF43D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Ramo marginal mandibular do nervo facial</w:t>
      </w:r>
    </w:p>
    <w:p w14:paraId="4A6A1327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Ramo bucal do nervo facial</w:t>
      </w:r>
    </w:p>
    <w:p w14:paraId="626D91A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Nervo lingual</w:t>
      </w:r>
    </w:p>
    <w:p w14:paraId="207A001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Nervo </w:t>
      </w:r>
      <w:proofErr w:type="spellStart"/>
      <w:r w:rsidRPr="00A74F6D">
        <w:rPr>
          <w:rFonts w:cstheme="minorHAnsi"/>
          <w:sz w:val="23"/>
          <w:szCs w:val="23"/>
        </w:rPr>
        <w:t>infra-orbital</w:t>
      </w:r>
      <w:proofErr w:type="spellEnd"/>
    </w:p>
    <w:p w14:paraId="0361A02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B281E16" w14:textId="01214904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15</w:t>
      </w:r>
    </w:p>
    <w:p w14:paraId="534A14C4" w14:textId="54BDD9D0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Sobre as infecções odontogênicas, é CORRETO afirmar que: </w:t>
      </w:r>
    </w:p>
    <w:p w14:paraId="5C0B952B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A angina de Ludwig é uma complicação grave da infecção odontogênica que afeta os espaços faciais submandibulares bilaterais, espaço bucal e temporal profundo. </w:t>
      </w:r>
    </w:p>
    <w:p w14:paraId="4366770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A consistência da celulite facial é endurecida. </w:t>
      </w:r>
    </w:p>
    <w:p w14:paraId="4CF10A4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O abcesso representa o estágio final da celulite facial e sua gravidade é maior.</w:t>
      </w:r>
    </w:p>
    <w:p w14:paraId="5625261B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O quadro sistêmico do paciente não está relacionado com a evolução da infecção propriamente dita.  </w:t>
      </w:r>
    </w:p>
    <w:p w14:paraId="6A33B67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D91D497" w14:textId="6EB4D95E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16</w:t>
      </w:r>
    </w:p>
    <w:p w14:paraId="5CECF410" w14:textId="56C746D2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Um paciente que apresenta uma fissura </w:t>
      </w:r>
      <w:proofErr w:type="spellStart"/>
      <w:r w:rsidRPr="00A74F6D">
        <w:rPr>
          <w:rFonts w:cstheme="minorHAnsi"/>
          <w:sz w:val="23"/>
          <w:szCs w:val="23"/>
        </w:rPr>
        <w:t>lábio-palatal</w:t>
      </w:r>
      <w:proofErr w:type="spellEnd"/>
      <w:r w:rsidRPr="00A74F6D">
        <w:rPr>
          <w:rFonts w:cstheme="minorHAnsi"/>
          <w:sz w:val="23"/>
          <w:szCs w:val="23"/>
        </w:rPr>
        <w:t xml:space="preserve">, classificado de acordo com </w:t>
      </w:r>
      <w:proofErr w:type="spellStart"/>
      <w:r w:rsidRPr="00A74F6D">
        <w:rPr>
          <w:rFonts w:cstheme="minorHAnsi"/>
          <w:sz w:val="23"/>
          <w:szCs w:val="23"/>
        </w:rPr>
        <w:t>Spina</w:t>
      </w:r>
      <w:proofErr w:type="spellEnd"/>
      <w:r w:rsidRPr="00A74F6D">
        <w:rPr>
          <w:rFonts w:cstheme="minorHAnsi"/>
          <w:sz w:val="23"/>
          <w:szCs w:val="23"/>
        </w:rPr>
        <w:t xml:space="preserve"> em </w:t>
      </w:r>
      <w:proofErr w:type="spellStart"/>
      <w:r w:rsidRPr="00A74F6D">
        <w:rPr>
          <w:rFonts w:cstheme="minorHAnsi"/>
          <w:sz w:val="23"/>
          <w:szCs w:val="23"/>
        </w:rPr>
        <w:t>transforame</w:t>
      </w:r>
      <w:proofErr w:type="spellEnd"/>
      <w:r w:rsidRPr="00A74F6D">
        <w:rPr>
          <w:rFonts w:cstheme="minorHAnsi"/>
          <w:sz w:val="23"/>
          <w:szCs w:val="23"/>
        </w:rPr>
        <w:t xml:space="preserve"> completa unilateral, necessitará de várias etapas cirúrgicas até receber alta definitiva. A melhor sequência para tratamento desse paciente é:</w:t>
      </w:r>
    </w:p>
    <w:p w14:paraId="095BE00F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</w:t>
      </w:r>
      <w:proofErr w:type="spellStart"/>
      <w:r w:rsidRPr="00A74F6D">
        <w:rPr>
          <w:rFonts w:cstheme="minorHAnsi"/>
          <w:sz w:val="23"/>
          <w:szCs w:val="23"/>
        </w:rPr>
        <w:t>Queiloplastia</w:t>
      </w:r>
      <w:proofErr w:type="spellEnd"/>
      <w:r w:rsidRPr="00A74F6D">
        <w:rPr>
          <w:rFonts w:cstheme="minorHAnsi"/>
          <w:sz w:val="23"/>
          <w:szCs w:val="23"/>
        </w:rPr>
        <w:t>, Palatoplastia, Enxerto Alveolar e Cirurgia Ortognática.</w:t>
      </w:r>
    </w:p>
    <w:p w14:paraId="24AF558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Palatoplastia, </w:t>
      </w:r>
      <w:proofErr w:type="spellStart"/>
      <w:r w:rsidRPr="00A74F6D">
        <w:rPr>
          <w:rFonts w:cstheme="minorHAnsi"/>
          <w:sz w:val="23"/>
          <w:szCs w:val="23"/>
        </w:rPr>
        <w:t>Queiloplastia</w:t>
      </w:r>
      <w:proofErr w:type="spellEnd"/>
      <w:r w:rsidRPr="00A74F6D">
        <w:rPr>
          <w:rFonts w:cstheme="minorHAnsi"/>
          <w:sz w:val="23"/>
          <w:szCs w:val="23"/>
        </w:rPr>
        <w:t>, Enxerto alveolar e Cirurgia Ortognática.</w:t>
      </w:r>
    </w:p>
    <w:p w14:paraId="7571BB3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Palatoplastia, </w:t>
      </w:r>
      <w:proofErr w:type="spellStart"/>
      <w:r w:rsidRPr="00A74F6D">
        <w:rPr>
          <w:rFonts w:cstheme="minorHAnsi"/>
          <w:sz w:val="23"/>
          <w:szCs w:val="23"/>
        </w:rPr>
        <w:t>Queiloplastia</w:t>
      </w:r>
      <w:proofErr w:type="spellEnd"/>
      <w:r w:rsidRPr="00A74F6D">
        <w:rPr>
          <w:rFonts w:cstheme="minorHAnsi"/>
          <w:sz w:val="23"/>
          <w:szCs w:val="23"/>
        </w:rPr>
        <w:t>, Cirurgia Ortognática e Enxerto Alveolar.</w:t>
      </w:r>
    </w:p>
    <w:p w14:paraId="27291C2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lastRenderedPageBreak/>
        <w:t xml:space="preserve">d) </w:t>
      </w:r>
      <w:proofErr w:type="spellStart"/>
      <w:r w:rsidRPr="00A74F6D">
        <w:rPr>
          <w:rFonts w:cstheme="minorHAnsi"/>
          <w:sz w:val="23"/>
          <w:szCs w:val="23"/>
        </w:rPr>
        <w:t>Queiloplastia</w:t>
      </w:r>
      <w:proofErr w:type="spellEnd"/>
      <w:r w:rsidRPr="00A74F6D">
        <w:rPr>
          <w:rFonts w:cstheme="minorHAnsi"/>
          <w:sz w:val="23"/>
          <w:szCs w:val="23"/>
        </w:rPr>
        <w:t>, Enxerto Alveolar, Palatoplastia e Cirurgia Ortognática.</w:t>
      </w:r>
    </w:p>
    <w:p w14:paraId="6F28F95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D1942D9" w14:textId="26181177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17</w:t>
      </w:r>
    </w:p>
    <w:p w14:paraId="11F1CF1B" w14:textId="72AA5F5C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Ossificação do ligamento estiloide, que ocasiona uma variedade de sintomas, tais como: dor </w:t>
      </w:r>
      <w:proofErr w:type="spellStart"/>
      <w:r w:rsidRPr="00A74F6D">
        <w:rPr>
          <w:rFonts w:cstheme="minorHAnsi"/>
          <w:sz w:val="23"/>
          <w:szCs w:val="23"/>
        </w:rPr>
        <w:t>cérvicofacial</w:t>
      </w:r>
      <w:proofErr w:type="spellEnd"/>
      <w:r w:rsidRPr="00A74F6D">
        <w:rPr>
          <w:rFonts w:cstheme="minorHAnsi"/>
          <w:sz w:val="23"/>
          <w:szCs w:val="23"/>
        </w:rPr>
        <w:t>, dificuldade e dor ao deglutir os alimentos, girar a cabeça ou abrir a boca e história recente de trauma na região do pescoço (tonsilectomia) caracteriza:</w:t>
      </w:r>
    </w:p>
    <w:p w14:paraId="04A2EC4B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Síndrome de </w:t>
      </w:r>
      <w:proofErr w:type="spellStart"/>
      <w:r w:rsidRPr="00A74F6D">
        <w:rPr>
          <w:rFonts w:cstheme="minorHAnsi"/>
          <w:sz w:val="23"/>
          <w:szCs w:val="23"/>
        </w:rPr>
        <w:t>Stafne</w:t>
      </w:r>
      <w:proofErr w:type="spellEnd"/>
    </w:p>
    <w:p w14:paraId="794FB689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Síndrome de Eagle</w:t>
      </w:r>
    </w:p>
    <w:p w14:paraId="021A95F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Síndrome de Gardner</w:t>
      </w:r>
    </w:p>
    <w:p w14:paraId="50F6EEE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Síndrome Estiloide da Artéria Carótida</w:t>
      </w:r>
    </w:p>
    <w:p w14:paraId="2C370DA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5A3DAE49" w14:textId="59950A5D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18</w:t>
      </w:r>
    </w:p>
    <w:p w14:paraId="20C7BD85" w14:textId="0462B81C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Acerca das disfunções das articulações </w:t>
      </w:r>
      <w:proofErr w:type="spellStart"/>
      <w:r w:rsidRPr="00A74F6D">
        <w:rPr>
          <w:rFonts w:cstheme="minorHAnsi"/>
          <w:sz w:val="23"/>
          <w:szCs w:val="23"/>
        </w:rPr>
        <w:t>têmporo-mandibulares</w:t>
      </w:r>
      <w:proofErr w:type="spellEnd"/>
      <w:r w:rsidRPr="00A74F6D">
        <w:rPr>
          <w:rFonts w:cstheme="minorHAnsi"/>
          <w:sz w:val="23"/>
          <w:szCs w:val="23"/>
        </w:rPr>
        <w:t xml:space="preserve"> (ATM), assinale a opção correta:</w:t>
      </w:r>
    </w:p>
    <w:p w14:paraId="29BE5E5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A técnica de imagem mais eficaz para avaliar tecidos moles das ATM é a ressonância magnética.</w:t>
      </w:r>
    </w:p>
    <w:p w14:paraId="07365DAB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Nas cirurgias de recaptura de disco das ATM, o acesso cirúrgico </w:t>
      </w:r>
      <w:proofErr w:type="spellStart"/>
      <w:r w:rsidRPr="00A74F6D">
        <w:rPr>
          <w:rFonts w:cstheme="minorHAnsi"/>
          <w:sz w:val="23"/>
          <w:szCs w:val="23"/>
        </w:rPr>
        <w:t>retromandibular</w:t>
      </w:r>
      <w:proofErr w:type="spellEnd"/>
      <w:r w:rsidRPr="00A74F6D">
        <w:rPr>
          <w:rFonts w:cstheme="minorHAnsi"/>
          <w:sz w:val="23"/>
          <w:szCs w:val="23"/>
        </w:rPr>
        <w:t xml:space="preserve"> é o mais indicado, por permitir boa visualização dessas articulações.</w:t>
      </w:r>
    </w:p>
    <w:p w14:paraId="4BB41AB9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A disfunção do músculo pterigoideo do lado direito provoca desvio para o lado oposto durante a abertura bucal.</w:t>
      </w:r>
    </w:p>
    <w:p w14:paraId="57720E7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A luxação bilateral recorrente das ATM é tratada cirurgicamente pela técnica da </w:t>
      </w:r>
      <w:proofErr w:type="spellStart"/>
      <w:r w:rsidRPr="00A74F6D">
        <w:rPr>
          <w:rFonts w:cstheme="minorHAnsi"/>
          <w:sz w:val="23"/>
          <w:szCs w:val="23"/>
        </w:rPr>
        <w:t>coronoidectomia</w:t>
      </w:r>
      <w:proofErr w:type="spellEnd"/>
      <w:r w:rsidRPr="00A74F6D">
        <w:rPr>
          <w:rFonts w:cstheme="minorHAnsi"/>
          <w:sz w:val="23"/>
          <w:szCs w:val="23"/>
        </w:rPr>
        <w:t xml:space="preserve"> bilateral.</w:t>
      </w:r>
    </w:p>
    <w:p w14:paraId="4DA29EB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4536071A" w14:textId="0AF32504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19</w:t>
      </w:r>
    </w:p>
    <w:p w14:paraId="72B07D84" w14:textId="45BB804E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Em cirurgia bucal, um princípio básico para realização de um retalho </w:t>
      </w:r>
      <w:proofErr w:type="spellStart"/>
      <w:r w:rsidRPr="00A74F6D">
        <w:rPr>
          <w:rFonts w:cstheme="minorHAnsi"/>
          <w:sz w:val="23"/>
          <w:szCs w:val="23"/>
        </w:rPr>
        <w:t>mucoperiostal</w:t>
      </w:r>
      <w:proofErr w:type="spellEnd"/>
      <w:r w:rsidRPr="00A74F6D">
        <w:rPr>
          <w:rFonts w:cstheme="minorHAnsi"/>
          <w:sz w:val="23"/>
          <w:szCs w:val="23"/>
        </w:rPr>
        <w:t xml:space="preserve"> é:</w:t>
      </w:r>
    </w:p>
    <w:p w14:paraId="77CC2E6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a incisão de alívio não deve exceder 0,5cm.</w:t>
      </w:r>
    </w:p>
    <w:p w14:paraId="6F1C422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sempre deve ser utilizado bisturi frio.</w:t>
      </w:r>
    </w:p>
    <w:p w14:paraId="2A221F2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em região posterior de maxila o tipo indicado é o semilunar.</w:t>
      </w:r>
    </w:p>
    <w:p w14:paraId="7A118D9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a base do retalho deve ser maior que a margem livre.</w:t>
      </w:r>
    </w:p>
    <w:p w14:paraId="0E7251DF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20B0EC2D" w14:textId="6DA69E90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20</w:t>
      </w:r>
    </w:p>
    <w:p w14:paraId="52BB947A" w14:textId="2CDFCC64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Com relação ao princípio da diérese assinale a resposta correta.</w:t>
      </w:r>
    </w:p>
    <w:p w14:paraId="013BFC9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 - A deiscência de sutura é uma complicação pós-operatória que pode ocorrer por não se observar o princípio do apoio do retalho em o tecido ósseo sadio ou por uma tensão excessiva da sutura</w:t>
      </w:r>
    </w:p>
    <w:p w14:paraId="7554FDE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 II - A incisão deve ser confeccionada em cima da área de atuação, minimizando o trauma cirúrgico e facilitando a visualização do objetivo cirúrgico.</w:t>
      </w:r>
    </w:p>
    <w:p w14:paraId="589D356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III – A </w:t>
      </w:r>
      <w:proofErr w:type="spellStart"/>
      <w:r w:rsidRPr="00A74F6D">
        <w:rPr>
          <w:rFonts w:cstheme="minorHAnsi"/>
          <w:sz w:val="23"/>
          <w:szCs w:val="23"/>
        </w:rPr>
        <w:t>microvascularização</w:t>
      </w:r>
      <w:proofErr w:type="spellEnd"/>
      <w:r w:rsidRPr="00A74F6D">
        <w:rPr>
          <w:rFonts w:cstheme="minorHAnsi"/>
          <w:sz w:val="23"/>
          <w:szCs w:val="23"/>
        </w:rPr>
        <w:t xml:space="preserve"> do retalho cirúrgico depende de Incisões Relaxantes convergentes para a sua base.</w:t>
      </w:r>
    </w:p>
    <w:p w14:paraId="22157A9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Somente a I está correta</w:t>
      </w:r>
    </w:p>
    <w:p w14:paraId="2D0BEC9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Somente a II está correta </w:t>
      </w:r>
    </w:p>
    <w:p w14:paraId="3D7FFD2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Somente a I e III estão corretas</w:t>
      </w:r>
    </w:p>
    <w:p w14:paraId="721F7FA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Somente a II e III estão corretas</w:t>
      </w:r>
    </w:p>
    <w:p w14:paraId="3D008475" w14:textId="77777777" w:rsidR="00F85209" w:rsidRPr="00A74F6D" w:rsidRDefault="00F85209" w:rsidP="008B262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2FB7143" w14:textId="391B5032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21</w:t>
      </w:r>
    </w:p>
    <w:p w14:paraId="3C2EC16D" w14:textId="10356459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Assinale a alternativa correta.</w:t>
      </w:r>
    </w:p>
    <w:p w14:paraId="68BF587F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 – O sangramento do tipo capilar é caracterizado por um fluxo leve e contínuo em que se consegue identificar o vaso </w:t>
      </w:r>
      <w:proofErr w:type="spellStart"/>
      <w:r w:rsidRPr="00A74F6D">
        <w:rPr>
          <w:rFonts w:cstheme="minorHAnsi"/>
          <w:sz w:val="23"/>
          <w:szCs w:val="23"/>
        </w:rPr>
        <w:t>sangrante</w:t>
      </w:r>
      <w:proofErr w:type="spellEnd"/>
      <w:r w:rsidRPr="00A74F6D">
        <w:rPr>
          <w:rFonts w:cstheme="minorHAnsi"/>
          <w:sz w:val="23"/>
          <w:szCs w:val="23"/>
        </w:rPr>
        <w:t>.</w:t>
      </w:r>
    </w:p>
    <w:p w14:paraId="0FB3018B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II – A </w:t>
      </w:r>
      <w:proofErr w:type="spellStart"/>
      <w:r w:rsidRPr="00A74F6D">
        <w:rPr>
          <w:rFonts w:cstheme="minorHAnsi"/>
          <w:sz w:val="23"/>
          <w:szCs w:val="23"/>
        </w:rPr>
        <w:t>pinçagem</w:t>
      </w:r>
      <w:proofErr w:type="spellEnd"/>
      <w:r w:rsidRPr="00A74F6D">
        <w:rPr>
          <w:rFonts w:cstheme="minorHAnsi"/>
          <w:sz w:val="23"/>
          <w:szCs w:val="23"/>
        </w:rPr>
        <w:t xml:space="preserve"> e ligadura de um vaso sanguíneo pode ser empregada tanto para os casos de sangramento venoso quanto para os casos de sangramento arterial.</w:t>
      </w:r>
    </w:p>
    <w:p w14:paraId="614ED93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III – Com base nos princípios cirúrgicos de síntese, deve-se utilizar uma pinça para estabilizar o retalho, apertar o nó lateralmente à ferida cirúrgica e iniciar a sutura pela borda fixa do retalho e não </w:t>
      </w:r>
      <w:proofErr w:type="gramStart"/>
      <w:r w:rsidRPr="00A74F6D">
        <w:rPr>
          <w:rFonts w:cstheme="minorHAnsi"/>
          <w:sz w:val="23"/>
          <w:szCs w:val="23"/>
        </w:rPr>
        <w:t>pela móvel</w:t>
      </w:r>
      <w:proofErr w:type="gramEnd"/>
      <w:r w:rsidRPr="00A74F6D">
        <w:rPr>
          <w:rFonts w:cstheme="minorHAnsi"/>
          <w:sz w:val="23"/>
          <w:szCs w:val="23"/>
        </w:rPr>
        <w:t>.</w:t>
      </w:r>
    </w:p>
    <w:p w14:paraId="28EFAA6F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Somente a I está correta</w:t>
      </w:r>
    </w:p>
    <w:p w14:paraId="0D6A388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Somente a II está correta </w:t>
      </w:r>
    </w:p>
    <w:p w14:paraId="3F080CA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Somente a III está correta </w:t>
      </w:r>
    </w:p>
    <w:p w14:paraId="32D9580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Somente a II e III estão corretas</w:t>
      </w:r>
    </w:p>
    <w:p w14:paraId="5713C33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581915E" w14:textId="467A870E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22</w:t>
      </w:r>
    </w:p>
    <w:p w14:paraId="2C34DC50" w14:textId="67E05DF6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As características clínicas da deficiência maxilar transversa esquelética </w:t>
      </w:r>
      <w:proofErr w:type="spellStart"/>
      <w:r w:rsidRPr="00A74F6D">
        <w:rPr>
          <w:rFonts w:cstheme="minorHAnsi"/>
          <w:sz w:val="23"/>
          <w:szCs w:val="23"/>
        </w:rPr>
        <w:t>sâo</w:t>
      </w:r>
      <w:proofErr w:type="spellEnd"/>
      <w:r w:rsidRPr="00A74F6D">
        <w:rPr>
          <w:rFonts w:cstheme="minorHAnsi"/>
          <w:sz w:val="23"/>
          <w:szCs w:val="23"/>
        </w:rPr>
        <w:t>:</w:t>
      </w:r>
    </w:p>
    <w:p w14:paraId="02F4BFE9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 – </w:t>
      </w:r>
      <w:proofErr w:type="gramStart"/>
      <w:r w:rsidRPr="00A74F6D">
        <w:rPr>
          <w:rFonts w:cstheme="minorHAnsi"/>
          <w:sz w:val="23"/>
          <w:szCs w:val="23"/>
        </w:rPr>
        <w:t>mordida</w:t>
      </w:r>
      <w:proofErr w:type="gramEnd"/>
      <w:r w:rsidRPr="00A74F6D">
        <w:rPr>
          <w:rFonts w:cstheme="minorHAnsi"/>
          <w:sz w:val="23"/>
          <w:szCs w:val="23"/>
        </w:rPr>
        <w:t xml:space="preserve"> cruzada</w:t>
      </w:r>
    </w:p>
    <w:p w14:paraId="0272EEC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II – </w:t>
      </w:r>
      <w:proofErr w:type="gramStart"/>
      <w:r w:rsidRPr="00A74F6D">
        <w:rPr>
          <w:rFonts w:cstheme="minorHAnsi"/>
          <w:sz w:val="23"/>
          <w:szCs w:val="23"/>
        </w:rPr>
        <w:t>dentes</w:t>
      </w:r>
      <w:proofErr w:type="gram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protuídos</w:t>
      </w:r>
      <w:proofErr w:type="spellEnd"/>
      <w:r w:rsidRPr="00A74F6D">
        <w:rPr>
          <w:rFonts w:cstheme="minorHAnsi"/>
          <w:sz w:val="23"/>
          <w:szCs w:val="23"/>
        </w:rPr>
        <w:t xml:space="preserve"> ou apinhados</w:t>
      </w:r>
    </w:p>
    <w:p w14:paraId="0E3E93A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III – arcos estreitos ou adelgaçados</w:t>
      </w:r>
    </w:p>
    <w:p w14:paraId="11B2110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IV – </w:t>
      </w:r>
      <w:proofErr w:type="gramStart"/>
      <w:r w:rsidRPr="00A74F6D">
        <w:rPr>
          <w:rFonts w:cstheme="minorHAnsi"/>
          <w:sz w:val="23"/>
          <w:szCs w:val="23"/>
        </w:rPr>
        <w:t>palato</w:t>
      </w:r>
      <w:proofErr w:type="gramEnd"/>
      <w:r w:rsidRPr="00A74F6D">
        <w:rPr>
          <w:rFonts w:cstheme="minorHAnsi"/>
          <w:sz w:val="23"/>
          <w:szCs w:val="23"/>
        </w:rPr>
        <w:t xml:space="preserve"> profundo</w:t>
      </w:r>
    </w:p>
    <w:p w14:paraId="774301D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Assinale a alternativa correta sobre essa afirmação:</w:t>
      </w:r>
    </w:p>
    <w:p w14:paraId="60AA586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Apenas I, II e III são corretas</w:t>
      </w:r>
    </w:p>
    <w:p w14:paraId="020E8A8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Apenas I e III são corretas</w:t>
      </w:r>
    </w:p>
    <w:p w14:paraId="02E5942C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Apenas II e IV são corretas</w:t>
      </w:r>
    </w:p>
    <w:p w14:paraId="3C720CC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I, II, III e IV são corretas</w:t>
      </w:r>
    </w:p>
    <w:p w14:paraId="7E608F3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1E70833" w14:textId="5E5B278F" w:rsidR="00F85209" w:rsidRPr="00A74F6D" w:rsidRDefault="00F85209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23</w:t>
      </w:r>
    </w:p>
    <w:p w14:paraId="596234C0" w14:textId="2B77C9A2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Osteotomia amplamente utilizada nas cirurgias ortognáticas, apresentando versatilidade na opção de movimentos, possibilitando avanços, recuos e correção de assimetrias mandibulares. Permite utilização de fixação interna, possibilitando função precoce durante a reparação óssea:</w:t>
      </w:r>
    </w:p>
    <w:p w14:paraId="278E7D99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Osteotomia sagital do ramo mandibular.</w:t>
      </w:r>
    </w:p>
    <w:p w14:paraId="207513E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Osteotomia vertical do ramo mandibular. </w:t>
      </w:r>
    </w:p>
    <w:p w14:paraId="4688422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Osteotomia subapical.</w:t>
      </w:r>
    </w:p>
    <w:p w14:paraId="745FB55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Osteotomia L invertido do ramo mandibular.</w:t>
      </w:r>
    </w:p>
    <w:p w14:paraId="0176D3D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70F2B35" w14:textId="7B79A516" w:rsidR="00B4669A" w:rsidRPr="00A74F6D" w:rsidRDefault="00B4669A" w:rsidP="008B262C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24</w:t>
      </w:r>
    </w:p>
    <w:p w14:paraId="46A8E80B" w14:textId="21F3F51D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Todos os anestésicos locais possuem a propriedade de </w:t>
      </w:r>
      <w:proofErr w:type="spellStart"/>
      <w:r w:rsidRPr="00A74F6D">
        <w:rPr>
          <w:rFonts w:cstheme="minorHAnsi"/>
          <w:sz w:val="23"/>
          <w:szCs w:val="23"/>
        </w:rPr>
        <w:t>vasodilação</w:t>
      </w:r>
      <w:proofErr w:type="spellEnd"/>
      <w:r w:rsidRPr="00A74F6D">
        <w:rPr>
          <w:rFonts w:cstheme="minorHAnsi"/>
          <w:sz w:val="23"/>
          <w:szCs w:val="23"/>
        </w:rPr>
        <w:t xml:space="preserve">, por isso os mesmos são geralmente empregados com a adição de vasoconstritores como a epinefrina, norepinefrina, fenilefrina, </w:t>
      </w:r>
      <w:proofErr w:type="spellStart"/>
      <w:r w:rsidRPr="00A74F6D">
        <w:rPr>
          <w:rFonts w:cstheme="minorHAnsi"/>
          <w:sz w:val="23"/>
          <w:szCs w:val="23"/>
        </w:rPr>
        <w:t>corbadrina</w:t>
      </w:r>
      <w:proofErr w:type="spellEnd"/>
      <w:r w:rsidRPr="00A74F6D">
        <w:rPr>
          <w:rFonts w:cstheme="minorHAnsi"/>
          <w:sz w:val="23"/>
          <w:szCs w:val="23"/>
        </w:rPr>
        <w:t xml:space="preserve"> e </w:t>
      </w:r>
      <w:proofErr w:type="spellStart"/>
      <w:r w:rsidRPr="00A74F6D">
        <w:rPr>
          <w:rFonts w:cstheme="minorHAnsi"/>
          <w:sz w:val="23"/>
          <w:szCs w:val="23"/>
        </w:rPr>
        <w:t>felipressina</w:t>
      </w:r>
      <w:proofErr w:type="spellEnd"/>
      <w:r w:rsidRPr="00A74F6D">
        <w:rPr>
          <w:rFonts w:cstheme="minorHAnsi"/>
          <w:sz w:val="23"/>
          <w:szCs w:val="23"/>
        </w:rPr>
        <w:t xml:space="preserve">. Assim, dentre os anestésicos vendidos comercialmente no Brasil, qual é o sal anestésico que </w:t>
      </w:r>
      <w:r w:rsidRPr="00A74F6D">
        <w:rPr>
          <w:rFonts w:cstheme="minorHAnsi"/>
          <w:sz w:val="23"/>
          <w:szCs w:val="23"/>
        </w:rPr>
        <w:lastRenderedPageBreak/>
        <w:t>tem maior duração de ação quando não está associado a nenhum vasoconstritor?</w:t>
      </w:r>
    </w:p>
    <w:p w14:paraId="58DAD62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Lidocaína</w:t>
      </w:r>
    </w:p>
    <w:p w14:paraId="5E56412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</w:t>
      </w:r>
      <w:proofErr w:type="spellStart"/>
      <w:r w:rsidRPr="00A74F6D">
        <w:rPr>
          <w:rFonts w:cstheme="minorHAnsi"/>
          <w:sz w:val="23"/>
          <w:szCs w:val="23"/>
        </w:rPr>
        <w:t>mepivacaína</w:t>
      </w:r>
      <w:proofErr w:type="spellEnd"/>
    </w:p>
    <w:p w14:paraId="2E0F3F3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</w:t>
      </w:r>
      <w:proofErr w:type="spellStart"/>
      <w:r w:rsidRPr="00A74F6D">
        <w:rPr>
          <w:rFonts w:cstheme="minorHAnsi"/>
          <w:sz w:val="23"/>
          <w:szCs w:val="23"/>
        </w:rPr>
        <w:t>prilocaína</w:t>
      </w:r>
      <w:proofErr w:type="spellEnd"/>
    </w:p>
    <w:p w14:paraId="19F972C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</w:t>
      </w:r>
      <w:proofErr w:type="spellStart"/>
      <w:r w:rsidRPr="00A74F6D">
        <w:rPr>
          <w:rFonts w:cstheme="minorHAnsi"/>
          <w:sz w:val="23"/>
          <w:szCs w:val="23"/>
        </w:rPr>
        <w:t>articaína</w:t>
      </w:r>
      <w:proofErr w:type="spellEnd"/>
    </w:p>
    <w:p w14:paraId="11B52CE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515C5E6D" w14:textId="0E180D8A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25</w:t>
      </w:r>
    </w:p>
    <w:p w14:paraId="6E88C0B5" w14:textId="672F4AB5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Os antibióticos (antibacterianos) são substâncias químicas, obtidas de microrganismos vivos ou de processos semissintéticos, que têm a propriedade de inibir o crescimento de microrganismos patogênicos ou destruí-los. Estes medicamentos podem ser classificados quanto a ação biológica (bactericida ou bacteriostático), espectro de ação (gram-positivos, gram-negativos, aeróbios, anaeróbias, </w:t>
      </w:r>
      <w:proofErr w:type="spellStart"/>
      <w:r w:rsidRPr="00A74F6D">
        <w:rPr>
          <w:rFonts w:cstheme="minorHAnsi"/>
          <w:sz w:val="23"/>
          <w:szCs w:val="23"/>
        </w:rPr>
        <w:t>etc</w:t>
      </w:r>
      <w:proofErr w:type="spellEnd"/>
      <w:r w:rsidRPr="00A74F6D">
        <w:rPr>
          <w:rFonts w:cstheme="minorHAnsi"/>
          <w:sz w:val="23"/>
          <w:szCs w:val="23"/>
        </w:rPr>
        <w:t xml:space="preserve">) além de seu mecanismo de ação (ação na parede celular, na síntese </w:t>
      </w:r>
      <w:proofErr w:type="spellStart"/>
      <w:r w:rsidRPr="00A74F6D">
        <w:rPr>
          <w:rFonts w:cstheme="minorHAnsi"/>
          <w:sz w:val="23"/>
          <w:szCs w:val="23"/>
        </w:rPr>
        <w:t>protéica</w:t>
      </w:r>
      <w:proofErr w:type="spellEnd"/>
      <w:r w:rsidRPr="00A74F6D">
        <w:rPr>
          <w:rFonts w:cstheme="minorHAnsi"/>
          <w:sz w:val="23"/>
          <w:szCs w:val="23"/>
        </w:rPr>
        <w:t xml:space="preserve"> ou na síntese dos ácidos nucleicos. Com relação ao espectro de ação, qual das alternativas abaixo corresponde ao antibiótico que apresenta maior ação em odontologia contra bactérias anaeróbias, especialmente os bacilos gram-negativos:</w:t>
      </w:r>
    </w:p>
    <w:p w14:paraId="0F55C65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Amoxicilina</w:t>
      </w:r>
    </w:p>
    <w:p w14:paraId="68A677FA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b) Metronidazol</w:t>
      </w:r>
    </w:p>
    <w:p w14:paraId="5555AE8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c) Azitromicina</w:t>
      </w:r>
    </w:p>
    <w:p w14:paraId="531447E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d) Cefalexina</w:t>
      </w:r>
    </w:p>
    <w:p w14:paraId="4C1850B9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D4C0793" w14:textId="4946C606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26</w:t>
      </w:r>
    </w:p>
    <w:p w14:paraId="5BDDAC30" w14:textId="3B27AD92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No trauma, quando apresenta a ruptura do ligamento </w:t>
      </w:r>
      <w:proofErr w:type="spellStart"/>
      <w:r w:rsidRPr="00A74F6D">
        <w:rPr>
          <w:rFonts w:cstheme="minorHAnsi"/>
          <w:sz w:val="23"/>
          <w:szCs w:val="23"/>
        </w:rPr>
        <w:t>cantal</w:t>
      </w:r>
      <w:proofErr w:type="spellEnd"/>
      <w:r w:rsidRPr="00A74F6D">
        <w:rPr>
          <w:rFonts w:cstheme="minorHAnsi"/>
          <w:sz w:val="23"/>
          <w:szCs w:val="23"/>
        </w:rPr>
        <w:t xml:space="preserve">, resultando em um quadro de hipertelorismo, estamos falando da fratura: </w:t>
      </w:r>
    </w:p>
    <w:p w14:paraId="62238540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  <w:lang w:val="en-US"/>
        </w:rPr>
      </w:pPr>
      <w:r w:rsidRPr="00A74F6D">
        <w:rPr>
          <w:rFonts w:cstheme="minorHAnsi"/>
          <w:sz w:val="23"/>
          <w:szCs w:val="23"/>
          <w:lang w:val="en-US"/>
        </w:rPr>
        <w:t xml:space="preserve">a) Fratura Blow In. </w:t>
      </w:r>
    </w:p>
    <w:p w14:paraId="07BBE3F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  <w:lang w:val="en-US"/>
        </w:rPr>
      </w:pPr>
      <w:r w:rsidRPr="00A74F6D">
        <w:rPr>
          <w:rFonts w:cstheme="minorHAnsi"/>
          <w:sz w:val="23"/>
          <w:szCs w:val="23"/>
          <w:lang w:val="en-US"/>
        </w:rPr>
        <w:t>b) Fratura Blow Out.</w:t>
      </w:r>
    </w:p>
    <w:p w14:paraId="4E25039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  <w:lang w:val="en-US"/>
        </w:rPr>
      </w:pPr>
      <w:r w:rsidRPr="00A74F6D">
        <w:rPr>
          <w:rFonts w:cstheme="minorHAnsi"/>
          <w:sz w:val="23"/>
          <w:szCs w:val="23"/>
          <w:lang w:val="en-US"/>
        </w:rPr>
        <w:t>c) Fratura Le Fort II.</w:t>
      </w:r>
    </w:p>
    <w:p w14:paraId="7D06E28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Fratura </w:t>
      </w:r>
      <w:proofErr w:type="spellStart"/>
      <w:r w:rsidRPr="00A74F6D">
        <w:rPr>
          <w:rFonts w:cstheme="minorHAnsi"/>
          <w:sz w:val="23"/>
          <w:szCs w:val="23"/>
        </w:rPr>
        <w:t>Naso</w:t>
      </w:r>
      <w:proofErr w:type="spellEnd"/>
      <w:r w:rsidRPr="00A74F6D">
        <w:rPr>
          <w:rFonts w:cstheme="minorHAnsi"/>
          <w:sz w:val="23"/>
          <w:szCs w:val="23"/>
        </w:rPr>
        <w:t>-Orbita-Etmoidal.</w:t>
      </w:r>
    </w:p>
    <w:p w14:paraId="0C2C99B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43CA88F" w14:textId="5FF8C068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27</w:t>
      </w:r>
    </w:p>
    <w:p w14:paraId="26114743" w14:textId="64FA3E01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De acordo com a técnica de osteossíntese para fraturas ósseas mandibulares, o parafuso </w:t>
      </w:r>
      <w:proofErr w:type="spellStart"/>
      <w:r w:rsidRPr="00A74F6D">
        <w:rPr>
          <w:rFonts w:cstheme="minorHAnsi"/>
          <w:sz w:val="23"/>
          <w:szCs w:val="23"/>
        </w:rPr>
        <w:t>Lag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Screw</w:t>
      </w:r>
      <w:proofErr w:type="spellEnd"/>
      <w:r w:rsidRPr="00A74F6D">
        <w:rPr>
          <w:rFonts w:cstheme="minorHAnsi"/>
          <w:sz w:val="23"/>
          <w:szCs w:val="23"/>
        </w:rPr>
        <w:t xml:space="preserve"> é uma modalidade de fixação efetiva. Assinale a alternativa correta quanto ao seu conceito. </w:t>
      </w:r>
    </w:p>
    <w:p w14:paraId="7FE7AA01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A técnica de fixação </w:t>
      </w:r>
      <w:proofErr w:type="spellStart"/>
      <w:r w:rsidRPr="00A74F6D">
        <w:rPr>
          <w:rFonts w:cstheme="minorHAnsi"/>
          <w:sz w:val="23"/>
          <w:szCs w:val="23"/>
        </w:rPr>
        <w:t>lag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screw</w:t>
      </w:r>
      <w:proofErr w:type="spellEnd"/>
      <w:r w:rsidRPr="00A74F6D">
        <w:rPr>
          <w:rFonts w:cstheme="minorHAnsi"/>
          <w:sz w:val="23"/>
          <w:szCs w:val="23"/>
        </w:rPr>
        <w:t xml:space="preserve"> consiste no emprego de parafusos sem compressão dos fragmentos ósseos e pode requerer a utilização de placas adicionais. </w:t>
      </w:r>
    </w:p>
    <w:p w14:paraId="7571F24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Por ser uma técnica de fixação rígida, para aplicá-la duas corticais ósseas saudáveis não são necessárias, já que essa técnica suporta a carga que deveria ser dissipada ao osso. </w:t>
      </w:r>
    </w:p>
    <w:p w14:paraId="2F69839D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Como não há a necessidade de uma placa para se adaptar a região fraturada, a inserção do </w:t>
      </w:r>
      <w:proofErr w:type="spellStart"/>
      <w:r w:rsidRPr="00A74F6D">
        <w:rPr>
          <w:rFonts w:cstheme="minorHAnsi"/>
          <w:sz w:val="23"/>
          <w:szCs w:val="23"/>
        </w:rPr>
        <w:t>lag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screw</w:t>
      </w:r>
      <w:proofErr w:type="spellEnd"/>
      <w:r w:rsidRPr="00A74F6D">
        <w:rPr>
          <w:rFonts w:cstheme="minorHAnsi"/>
          <w:sz w:val="23"/>
          <w:szCs w:val="23"/>
        </w:rPr>
        <w:t xml:space="preserve"> é mais fácil e rápida. </w:t>
      </w:r>
    </w:p>
    <w:p w14:paraId="7DEAD97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O emprego dos </w:t>
      </w:r>
      <w:proofErr w:type="spellStart"/>
      <w:r w:rsidRPr="00A74F6D">
        <w:rPr>
          <w:rFonts w:cstheme="minorHAnsi"/>
          <w:sz w:val="23"/>
          <w:szCs w:val="23"/>
        </w:rPr>
        <w:t>lag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screws</w:t>
      </w:r>
      <w:proofErr w:type="spellEnd"/>
      <w:r w:rsidRPr="00A74F6D">
        <w:rPr>
          <w:rFonts w:cstheme="minorHAnsi"/>
          <w:sz w:val="23"/>
          <w:szCs w:val="23"/>
        </w:rPr>
        <w:t xml:space="preserve"> apresenta vantagens e benefícios compatíveis comparadas ao uso das </w:t>
      </w:r>
      <w:r w:rsidRPr="00A74F6D">
        <w:rPr>
          <w:rFonts w:cstheme="minorHAnsi"/>
          <w:sz w:val="23"/>
          <w:szCs w:val="23"/>
        </w:rPr>
        <w:t xml:space="preserve">placas. Financeiramente, as placas de fixação e parafusos </w:t>
      </w:r>
      <w:proofErr w:type="spellStart"/>
      <w:r w:rsidRPr="00A74F6D">
        <w:rPr>
          <w:rFonts w:cstheme="minorHAnsi"/>
          <w:sz w:val="23"/>
          <w:szCs w:val="23"/>
        </w:rPr>
        <w:t>lag</w:t>
      </w:r>
      <w:proofErr w:type="spellEnd"/>
      <w:r w:rsidRPr="00A74F6D">
        <w:rPr>
          <w:rFonts w:cstheme="minorHAnsi"/>
          <w:sz w:val="23"/>
          <w:szCs w:val="23"/>
        </w:rPr>
        <w:t xml:space="preserve"> </w:t>
      </w:r>
      <w:proofErr w:type="spellStart"/>
      <w:r w:rsidRPr="00A74F6D">
        <w:rPr>
          <w:rFonts w:cstheme="minorHAnsi"/>
          <w:sz w:val="23"/>
          <w:szCs w:val="23"/>
        </w:rPr>
        <w:t>screw</w:t>
      </w:r>
      <w:proofErr w:type="spellEnd"/>
      <w:r w:rsidRPr="00A74F6D">
        <w:rPr>
          <w:rFonts w:cstheme="minorHAnsi"/>
          <w:sz w:val="23"/>
          <w:szCs w:val="23"/>
        </w:rPr>
        <w:t xml:space="preserve"> têm custos semelhantes. </w:t>
      </w:r>
    </w:p>
    <w:p w14:paraId="35A5128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18D88B6" w14:textId="3E5C8C16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28</w:t>
      </w:r>
    </w:p>
    <w:p w14:paraId="18C59C24" w14:textId="3728C526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Grande atenção tem sido dada nos últimos anos à fixação das fraturas mandibulares com sistemas de placas de menor perfil e parafusos </w:t>
      </w:r>
      <w:proofErr w:type="spellStart"/>
      <w:r w:rsidRPr="00A74F6D">
        <w:rPr>
          <w:rFonts w:cstheme="minorHAnsi"/>
          <w:sz w:val="23"/>
          <w:szCs w:val="23"/>
        </w:rPr>
        <w:t>monocorticais</w:t>
      </w:r>
      <w:proofErr w:type="spellEnd"/>
      <w:r w:rsidRPr="00A74F6D">
        <w:rPr>
          <w:rFonts w:cstheme="minorHAnsi"/>
          <w:sz w:val="23"/>
          <w:szCs w:val="23"/>
        </w:rPr>
        <w:t xml:space="preserve">. Contudo, a fixação com esses sistemas, apesar de facilitar a cirurgia e diminuir sua morbidade, falha por vezes em superar a previsibilidade da fixação rígida com sistemas de reconstrução. A fixação com o uso de uma </w:t>
      </w:r>
      <w:proofErr w:type="spellStart"/>
      <w:r w:rsidRPr="00A74F6D">
        <w:rPr>
          <w:rFonts w:cstheme="minorHAnsi"/>
          <w:sz w:val="23"/>
          <w:szCs w:val="23"/>
        </w:rPr>
        <w:t>miniplaca</w:t>
      </w:r>
      <w:proofErr w:type="spellEnd"/>
      <w:r w:rsidRPr="00A74F6D">
        <w:rPr>
          <w:rFonts w:cstheme="minorHAnsi"/>
          <w:sz w:val="23"/>
          <w:szCs w:val="23"/>
        </w:rPr>
        <w:t xml:space="preserve"> com parafusos </w:t>
      </w:r>
      <w:proofErr w:type="spellStart"/>
      <w:r w:rsidRPr="00A74F6D">
        <w:rPr>
          <w:rFonts w:cstheme="minorHAnsi"/>
          <w:sz w:val="23"/>
          <w:szCs w:val="23"/>
        </w:rPr>
        <w:t>monocorticais</w:t>
      </w:r>
      <w:proofErr w:type="spellEnd"/>
      <w:r w:rsidRPr="00A74F6D">
        <w:rPr>
          <w:rFonts w:cstheme="minorHAnsi"/>
          <w:sz w:val="23"/>
          <w:szCs w:val="23"/>
        </w:rPr>
        <w:t xml:space="preserve"> de 2,0 mm é classificada como </w:t>
      </w:r>
    </w:p>
    <w:p w14:paraId="7003E0A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Fixação rígida. </w:t>
      </w:r>
    </w:p>
    <w:p w14:paraId="5FCE3CC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Fixação compressiva. </w:t>
      </w:r>
    </w:p>
    <w:p w14:paraId="05FDD37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Fixação funcionalmente estável. </w:t>
      </w:r>
    </w:p>
    <w:p w14:paraId="75A55E47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Fixação semirrígida. </w:t>
      </w:r>
    </w:p>
    <w:p w14:paraId="641ECDE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458F8B2F" w14:textId="2722A44C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29</w:t>
      </w:r>
    </w:p>
    <w:p w14:paraId="0CCD86A9" w14:textId="28CFC1F6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As fraturas do terço médio da face incluem aquelas que afetam a maxila, o zigoma e o complexo </w:t>
      </w:r>
      <w:proofErr w:type="spellStart"/>
      <w:r w:rsidRPr="00A74F6D">
        <w:rPr>
          <w:rFonts w:cstheme="minorHAnsi"/>
          <w:sz w:val="23"/>
          <w:szCs w:val="23"/>
        </w:rPr>
        <w:t>naso</w:t>
      </w:r>
      <w:proofErr w:type="spellEnd"/>
      <w:r w:rsidRPr="00A74F6D">
        <w:rPr>
          <w:rFonts w:cstheme="minorHAnsi"/>
          <w:sz w:val="23"/>
          <w:szCs w:val="23"/>
        </w:rPr>
        <w:t>-</w:t>
      </w:r>
      <w:proofErr w:type="spellStart"/>
      <w:r w:rsidRPr="00A74F6D">
        <w:rPr>
          <w:rFonts w:cstheme="minorHAnsi"/>
          <w:sz w:val="23"/>
          <w:szCs w:val="23"/>
        </w:rPr>
        <w:t>órbito</w:t>
      </w:r>
      <w:proofErr w:type="spellEnd"/>
      <w:r w:rsidRPr="00A74F6D">
        <w:rPr>
          <w:rFonts w:cstheme="minorHAnsi"/>
          <w:sz w:val="23"/>
          <w:szCs w:val="23"/>
        </w:rPr>
        <w:t xml:space="preserve">-etmoidal (NOE). A respeito disso, numerar a 2ª coluna de acordo com a 1ª e, após, assinalar a alternativa que apresenta a sequência CORRETA: </w:t>
      </w:r>
    </w:p>
    <w:p w14:paraId="43B3CB4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(1) Fratura Le Fort I. </w:t>
      </w:r>
    </w:p>
    <w:p w14:paraId="638A1A0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(2) Fratura Le Fort II. </w:t>
      </w:r>
    </w:p>
    <w:p w14:paraId="4414E04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(3) Fratura Le Fort III. </w:t>
      </w:r>
    </w:p>
    <w:p w14:paraId="6FECA895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(_) Resulta da aplicação de forças horizontais em um nível suficientemente alto para separar o complexo </w:t>
      </w:r>
      <w:proofErr w:type="spellStart"/>
      <w:r w:rsidRPr="00A74F6D">
        <w:rPr>
          <w:rFonts w:cstheme="minorHAnsi"/>
          <w:sz w:val="23"/>
          <w:szCs w:val="23"/>
        </w:rPr>
        <w:t>naso</w:t>
      </w:r>
      <w:proofErr w:type="spellEnd"/>
      <w:r w:rsidRPr="00A74F6D">
        <w:rPr>
          <w:rFonts w:cstheme="minorHAnsi"/>
          <w:sz w:val="23"/>
          <w:szCs w:val="23"/>
        </w:rPr>
        <w:t>-</w:t>
      </w:r>
      <w:proofErr w:type="spellStart"/>
      <w:r w:rsidRPr="00A74F6D">
        <w:rPr>
          <w:rFonts w:cstheme="minorHAnsi"/>
          <w:sz w:val="23"/>
          <w:szCs w:val="23"/>
        </w:rPr>
        <w:t>órbito</w:t>
      </w:r>
      <w:proofErr w:type="spellEnd"/>
      <w:r w:rsidRPr="00A74F6D">
        <w:rPr>
          <w:rFonts w:cstheme="minorHAnsi"/>
          <w:sz w:val="23"/>
          <w:szCs w:val="23"/>
        </w:rPr>
        <w:t xml:space="preserve">-etmoidal, os zigomas e a maxila da base do crânio, o que resulta na chamada disjunção craniofacial. </w:t>
      </w:r>
    </w:p>
    <w:p w14:paraId="650C3D1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(_) Resulta frequentemente da aplicação de força horizontal na maxila, fraturando-a através do seio maxilar e ao longo do assoalho da fossa nasal. Ela separa a maxila das lâminas pterigoides e das estruturas nasal e zigomática. </w:t>
      </w:r>
    </w:p>
    <w:p w14:paraId="219050A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(_</w:t>
      </w:r>
      <w:proofErr w:type="gramStart"/>
      <w:r w:rsidRPr="00A74F6D">
        <w:rPr>
          <w:rFonts w:cstheme="minorHAnsi"/>
          <w:sz w:val="23"/>
          <w:szCs w:val="23"/>
        </w:rPr>
        <w:t>) É</w:t>
      </w:r>
      <w:proofErr w:type="gramEnd"/>
      <w:r w:rsidRPr="00A74F6D">
        <w:rPr>
          <w:rFonts w:cstheme="minorHAnsi"/>
          <w:sz w:val="23"/>
          <w:szCs w:val="23"/>
        </w:rPr>
        <w:t xml:space="preserve"> causada por forças aplicadas em uma direção mais superior, que é a separação da maxila e complexo nasal aderido das estruturas zigomáticas e nasais. </w:t>
      </w:r>
    </w:p>
    <w:p w14:paraId="38720FF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>a) 3 - 1 - 2.</w:t>
      </w:r>
    </w:p>
    <w:p w14:paraId="0ADAA07E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2 - 1 - 3. </w:t>
      </w:r>
    </w:p>
    <w:p w14:paraId="004BB2A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1 - 2 - 3. </w:t>
      </w:r>
    </w:p>
    <w:p w14:paraId="73108E72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d) 3 - 2 - 1. </w:t>
      </w:r>
    </w:p>
    <w:p w14:paraId="5D35A1F3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EF1C151" w14:textId="4AE5F409" w:rsidR="00B4669A" w:rsidRPr="00A74F6D" w:rsidRDefault="00B4669A" w:rsidP="008B262C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A74F6D">
        <w:rPr>
          <w:rFonts w:cstheme="minorHAnsi"/>
          <w:b/>
          <w:bCs/>
          <w:sz w:val="23"/>
          <w:szCs w:val="23"/>
          <w:u w:val="single"/>
        </w:rPr>
        <w:t>QUESTÃO 30</w:t>
      </w:r>
    </w:p>
    <w:p w14:paraId="6D92DD23" w14:textId="479F35CC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Quanto à avaliação do quadro clínico do paciente traumatizado, equimoses localizadas atrás da orelha (Sinal de </w:t>
      </w:r>
      <w:proofErr w:type="spellStart"/>
      <w:r w:rsidRPr="00A74F6D">
        <w:rPr>
          <w:rFonts w:cstheme="minorHAnsi"/>
          <w:sz w:val="23"/>
          <w:szCs w:val="23"/>
        </w:rPr>
        <w:t>Battle</w:t>
      </w:r>
      <w:proofErr w:type="spellEnd"/>
      <w:r w:rsidRPr="00A74F6D">
        <w:rPr>
          <w:rFonts w:cstheme="minorHAnsi"/>
          <w:sz w:val="23"/>
          <w:szCs w:val="23"/>
        </w:rPr>
        <w:t xml:space="preserve">) sugerem: </w:t>
      </w:r>
    </w:p>
    <w:p w14:paraId="363A7D34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a) Fratura maxilar. </w:t>
      </w:r>
    </w:p>
    <w:p w14:paraId="7CE20688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b) Fratura do osso zigomático. </w:t>
      </w:r>
    </w:p>
    <w:p w14:paraId="06219D06" w14:textId="77777777" w:rsidR="00F85209" w:rsidRPr="00A74F6D" w:rsidRDefault="00F85209" w:rsidP="008B262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A74F6D">
        <w:rPr>
          <w:rFonts w:cstheme="minorHAnsi"/>
          <w:sz w:val="23"/>
          <w:szCs w:val="23"/>
        </w:rPr>
        <w:t xml:space="preserve">c) Fratura de crânio. </w:t>
      </w:r>
    </w:p>
    <w:p w14:paraId="37C7B447" w14:textId="6E201975" w:rsidR="003F4E66" w:rsidRPr="00A74F6D" w:rsidRDefault="00F85209" w:rsidP="00AA468C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74F6D">
        <w:rPr>
          <w:rFonts w:cstheme="minorHAnsi"/>
          <w:sz w:val="23"/>
          <w:szCs w:val="23"/>
        </w:rPr>
        <w:t>d) Hematoma do septo nasal.</w:t>
      </w:r>
    </w:p>
    <w:sectPr w:rsidR="003F4E66" w:rsidRPr="00A74F6D" w:rsidSect="002738C1">
      <w:pgSz w:w="11906" w:h="16838" w:code="9"/>
      <w:pgMar w:top="1134" w:right="851" w:bottom="851" w:left="851" w:header="142" w:footer="709" w:gutter="0"/>
      <w:cols w:num="2" w:sep="1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6755" w14:textId="77777777" w:rsidR="0046169E" w:rsidRDefault="0046169E" w:rsidP="005C56E1">
      <w:pPr>
        <w:spacing w:after="0" w:line="240" w:lineRule="auto"/>
      </w:pPr>
      <w:r>
        <w:separator/>
      </w:r>
    </w:p>
  </w:endnote>
  <w:endnote w:type="continuationSeparator" w:id="0">
    <w:p w14:paraId="58CC8B9A" w14:textId="77777777" w:rsidR="0046169E" w:rsidRDefault="0046169E" w:rsidP="005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nn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92A79" w14:textId="77777777" w:rsidR="0046169E" w:rsidRDefault="0046169E" w:rsidP="005C56E1">
      <w:pPr>
        <w:spacing w:after="0" w:line="240" w:lineRule="auto"/>
      </w:pPr>
      <w:r>
        <w:separator/>
      </w:r>
    </w:p>
  </w:footnote>
  <w:footnote w:type="continuationSeparator" w:id="0">
    <w:p w14:paraId="0F3AA9DE" w14:textId="77777777" w:rsidR="0046169E" w:rsidRDefault="0046169E" w:rsidP="005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9A5" w14:textId="5D125676" w:rsidR="005C56E1" w:rsidRPr="005C56E1" w:rsidRDefault="003731C3" w:rsidP="005C56E1">
    <w:pPr>
      <w:jc w:val="center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67A218" wp14:editId="2598FB53">
          <wp:simplePos x="0" y="0"/>
          <wp:positionH relativeFrom="column">
            <wp:posOffset>4881245</wp:posOffset>
          </wp:positionH>
          <wp:positionV relativeFrom="paragraph">
            <wp:posOffset>-22225</wp:posOffset>
          </wp:positionV>
          <wp:extent cx="1396365" cy="604520"/>
          <wp:effectExtent l="0" t="0" r="0" b="5080"/>
          <wp:wrapNone/>
          <wp:docPr id="1594686711" name="Imagem 5" descr="Interface gráfica do usuário, Aplicativo, Word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terface gráfica do usuário, Aplicativo, Word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30194" r="32138" b="3414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237BA" wp14:editId="0B42654C">
              <wp:simplePos x="0" y="0"/>
              <wp:positionH relativeFrom="column">
                <wp:posOffset>3391218</wp:posOffset>
              </wp:positionH>
              <wp:positionV relativeFrom="paragraph">
                <wp:posOffset>97155</wp:posOffset>
              </wp:positionV>
              <wp:extent cx="1449705" cy="401320"/>
              <wp:effectExtent l="0" t="0" r="0" b="0"/>
              <wp:wrapNone/>
              <wp:docPr id="167511890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97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57B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Secretaria de Estado da</w:t>
                          </w:r>
                        </w:p>
                        <w:p w14:paraId="28E19B4B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37B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67.05pt;margin-top:7.65pt;width:114.1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" filled="f" stroked="f">
              <v:textbox>
                <w:txbxContent>
                  <w:p w14:paraId="3A7B57B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Secretaria de Estado da</w:t>
                    </w:r>
                  </w:p>
                  <w:p w14:paraId="28E19B4B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Saúde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23E8C" wp14:editId="673B0A74">
              <wp:simplePos x="0" y="0"/>
              <wp:positionH relativeFrom="column">
                <wp:posOffset>-441325</wp:posOffset>
              </wp:positionH>
              <wp:positionV relativeFrom="paragraph">
                <wp:posOffset>106998</wp:posOffset>
              </wp:positionV>
              <wp:extent cx="1357630" cy="401320"/>
              <wp:effectExtent l="0" t="0" r="0" b="0"/>
              <wp:wrapNone/>
              <wp:docPr id="5091170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25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Hospital Regional de</w:t>
                          </w:r>
                        </w:p>
                        <w:p w14:paraId="307BDD99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Cacoal</w:t>
                          </w:r>
                          <w:r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E8C" id="Caixa de Texto 2" o:spid="_x0000_s1027" type="#_x0000_t202" style="position:absolute;left:0;text-align:left;margin-left:-34.75pt;margin-top:8.45pt;width:106.9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" filled="f" stroked="f">
              <v:textbox>
                <w:txbxContent>
                  <w:p w14:paraId="413F325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Hospital Regional de</w:t>
                    </w:r>
                  </w:p>
                  <w:p w14:paraId="307BDD99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Cacoal</w:t>
                    </w:r>
                    <w:r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0BF92" wp14:editId="351E4AB3">
              <wp:simplePos x="0" y="0"/>
              <wp:positionH relativeFrom="column">
                <wp:posOffset>805815</wp:posOffset>
              </wp:positionH>
              <wp:positionV relativeFrom="paragraph">
                <wp:posOffset>98107</wp:posOffset>
              </wp:positionV>
              <wp:extent cx="2713355" cy="445770"/>
              <wp:effectExtent l="0" t="0" r="0" b="0"/>
              <wp:wrapNone/>
              <wp:docPr id="52515082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33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A4E2" w14:textId="77777777" w:rsidR="005C56E1" w:rsidRPr="00820BBF" w:rsidRDefault="005C56E1" w:rsidP="005C56E1">
                          <w:pPr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Comissão de Residência Multiprofissional em Saúde-COREMU</w:t>
                          </w:r>
                          <w:r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0BF92" id="Caixa de Texto 3" o:spid="_x0000_s1028" type="#_x0000_t202" style="position:absolute;left:0;text-align:left;margin-left:63.45pt;margin-top:7.7pt;width:213.6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" filled="f" stroked="f">
              <v:textbox>
                <w:txbxContent>
                  <w:p w14:paraId="519BA4E2" w14:textId="77777777" w:rsidR="005C56E1" w:rsidRPr="00820BBF" w:rsidRDefault="005C56E1" w:rsidP="005C56E1">
                    <w:pPr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Comissão de Residência Multiprofissional em Saúde-COREMU</w:t>
                    </w:r>
                    <w:r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</w:p>
  <w:p w14:paraId="47D98D29" w14:textId="461FADD7" w:rsidR="005C56E1" w:rsidRPr="004711F7" w:rsidRDefault="005C56E1" w:rsidP="004711F7">
    <w:pPr>
      <w:spacing w:after="200" w:line="276" w:lineRule="auto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5A1A" wp14:editId="69C2DFA7">
              <wp:simplePos x="0" y="0"/>
              <wp:positionH relativeFrom="column">
                <wp:posOffset>-36195</wp:posOffset>
              </wp:positionH>
              <wp:positionV relativeFrom="paragraph">
                <wp:posOffset>318135</wp:posOffset>
              </wp:positionV>
              <wp:extent cx="5754370" cy="5715"/>
              <wp:effectExtent l="0" t="0" r="36830" b="32385"/>
              <wp:wrapNone/>
              <wp:docPr id="166180760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437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BC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.85pt;margin-top:25.05pt;width:453.1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C13"/>
    <w:multiLevelType w:val="hybridMultilevel"/>
    <w:tmpl w:val="59A0A4D0"/>
    <w:lvl w:ilvl="0" w:tplc="3E22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328"/>
    <w:multiLevelType w:val="hybridMultilevel"/>
    <w:tmpl w:val="B82A9CD6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7A5784"/>
    <w:multiLevelType w:val="hybridMultilevel"/>
    <w:tmpl w:val="463E2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344A"/>
    <w:multiLevelType w:val="hybridMultilevel"/>
    <w:tmpl w:val="971A2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1600"/>
    <w:multiLevelType w:val="hybridMultilevel"/>
    <w:tmpl w:val="7B0635C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FCE24CD"/>
    <w:multiLevelType w:val="hybridMultilevel"/>
    <w:tmpl w:val="1EE81218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1012A82"/>
    <w:multiLevelType w:val="hybridMultilevel"/>
    <w:tmpl w:val="E5964FC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D5E0919"/>
    <w:multiLevelType w:val="hybridMultilevel"/>
    <w:tmpl w:val="763E9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70D1"/>
    <w:multiLevelType w:val="hybridMultilevel"/>
    <w:tmpl w:val="846A785E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D7E15EA"/>
    <w:multiLevelType w:val="hybridMultilevel"/>
    <w:tmpl w:val="D38C42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52875"/>
    <w:multiLevelType w:val="hybridMultilevel"/>
    <w:tmpl w:val="7A9400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11466"/>
    <w:multiLevelType w:val="hybridMultilevel"/>
    <w:tmpl w:val="739463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33E87"/>
    <w:multiLevelType w:val="hybridMultilevel"/>
    <w:tmpl w:val="1DF23B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837F9"/>
    <w:multiLevelType w:val="hybridMultilevel"/>
    <w:tmpl w:val="F7725A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1934">
    <w:abstractNumId w:val="11"/>
  </w:num>
  <w:num w:numId="2" w16cid:durableId="604196659">
    <w:abstractNumId w:val="3"/>
  </w:num>
  <w:num w:numId="3" w16cid:durableId="2146894989">
    <w:abstractNumId w:val="8"/>
  </w:num>
  <w:num w:numId="4" w16cid:durableId="1888640057">
    <w:abstractNumId w:val="9"/>
  </w:num>
  <w:num w:numId="5" w16cid:durableId="503666778">
    <w:abstractNumId w:val="4"/>
  </w:num>
  <w:num w:numId="6" w16cid:durableId="1528566405">
    <w:abstractNumId w:val="5"/>
  </w:num>
  <w:num w:numId="7" w16cid:durableId="2104110569">
    <w:abstractNumId w:val="1"/>
  </w:num>
  <w:num w:numId="8" w16cid:durableId="903682598">
    <w:abstractNumId w:val="10"/>
  </w:num>
  <w:num w:numId="9" w16cid:durableId="716441784">
    <w:abstractNumId w:val="6"/>
  </w:num>
  <w:num w:numId="10" w16cid:durableId="1365868214">
    <w:abstractNumId w:val="12"/>
  </w:num>
  <w:num w:numId="11" w16cid:durableId="615451234">
    <w:abstractNumId w:val="2"/>
  </w:num>
  <w:num w:numId="12" w16cid:durableId="291832887">
    <w:abstractNumId w:val="13"/>
  </w:num>
  <w:num w:numId="13" w16cid:durableId="1245258298">
    <w:abstractNumId w:val="7"/>
  </w:num>
  <w:num w:numId="14" w16cid:durableId="11657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1"/>
    <w:rsid w:val="00014704"/>
    <w:rsid w:val="000375B5"/>
    <w:rsid w:val="00047EBA"/>
    <w:rsid w:val="00080142"/>
    <w:rsid w:val="000C67F4"/>
    <w:rsid w:val="000C7F76"/>
    <w:rsid w:val="0015487F"/>
    <w:rsid w:val="00161ECD"/>
    <w:rsid w:val="001D0A31"/>
    <w:rsid w:val="001E50EC"/>
    <w:rsid w:val="00243226"/>
    <w:rsid w:val="002738C1"/>
    <w:rsid w:val="002F3E75"/>
    <w:rsid w:val="00353660"/>
    <w:rsid w:val="00372DC7"/>
    <w:rsid w:val="003731C3"/>
    <w:rsid w:val="00391EA8"/>
    <w:rsid w:val="003F4E66"/>
    <w:rsid w:val="0046169E"/>
    <w:rsid w:val="004711F7"/>
    <w:rsid w:val="004818D5"/>
    <w:rsid w:val="004C454B"/>
    <w:rsid w:val="00511277"/>
    <w:rsid w:val="00567620"/>
    <w:rsid w:val="005C56E1"/>
    <w:rsid w:val="00680E06"/>
    <w:rsid w:val="00696244"/>
    <w:rsid w:val="006A2ED4"/>
    <w:rsid w:val="0070441E"/>
    <w:rsid w:val="00735075"/>
    <w:rsid w:val="00783F54"/>
    <w:rsid w:val="007A12CD"/>
    <w:rsid w:val="007C5D3D"/>
    <w:rsid w:val="007D4FF1"/>
    <w:rsid w:val="008120E1"/>
    <w:rsid w:val="00821BF7"/>
    <w:rsid w:val="008370CE"/>
    <w:rsid w:val="008400D7"/>
    <w:rsid w:val="008913E3"/>
    <w:rsid w:val="008B262C"/>
    <w:rsid w:val="008D79B5"/>
    <w:rsid w:val="00901096"/>
    <w:rsid w:val="009B3A37"/>
    <w:rsid w:val="009F002C"/>
    <w:rsid w:val="00A01CDE"/>
    <w:rsid w:val="00A24E3F"/>
    <w:rsid w:val="00A3351D"/>
    <w:rsid w:val="00A6206B"/>
    <w:rsid w:val="00A63907"/>
    <w:rsid w:val="00A74F6D"/>
    <w:rsid w:val="00AA2FB6"/>
    <w:rsid w:val="00AA468C"/>
    <w:rsid w:val="00B4669A"/>
    <w:rsid w:val="00B72CAA"/>
    <w:rsid w:val="00C23758"/>
    <w:rsid w:val="00C62D7A"/>
    <w:rsid w:val="00CD4D85"/>
    <w:rsid w:val="00D10982"/>
    <w:rsid w:val="00D77005"/>
    <w:rsid w:val="00DB6D69"/>
    <w:rsid w:val="00E356A8"/>
    <w:rsid w:val="00E73293"/>
    <w:rsid w:val="00E9292F"/>
    <w:rsid w:val="00F01F95"/>
    <w:rsid w:val="00F6796D"/>
    <w:rsid w:val="00F85209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9DEF"/>
  <w15:chartTrackingRefBased/>
  <w15:docId w15:val="{7352996E-80E9-4A51-BBEB-1EB9B27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6E1"/>
  </w:style>
  <w:style w:type="paragraph" w:styleId="Rodap">
    <w:name w:val="footer"/>
    <w:basedOn w:val="Normal"/>
    <w:link w:val="Rodap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E1"/>
  </w:style>
  <w:style w:type="table" w:styleId="Tabelacomgrade">
    <w:name w:val="Table Grid"/>
    <w:basedOn w:val="Tabelanormal"/>
    <w:uiPriority w:val="39"/>
    <w:rsid w:val="00D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3456</Words>
  <Characters>18668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Eldya Flavia</dc:creator>
  <cp:keywords/>
  <dc:description/>
  <cp:lastModifiedBy>Elissa Silva</cp:lastModifiedBy>
  <cp:revision>2</cp:revision>
  <dcterms:created xsi:type="dcterms:W3CDTF">2024-07-03T20:14:00Z</dcterms:created>
  <dcterms:modified xsi:type="dcterms:W3CDTF">2024-07-03T20:14:00Z</dcterms:modified>
</cp:coreProperties>
</file>